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0F" w:rsidRPr="00691125" w:rsidRDefault="00F8610F" w:rsidP="00691125">
      <w:pPr>
        <w:pStyle w:val="NormalWeb"/>
        <w:jc w:val="center"/>
        <w:rPr>
          <w:b/>
          <w:bCs/>
          <w:sz w:val="28"/>
          <w:szCs w:val="28"/>
          <w:lang w:val="uk-UA"/>
        </w:rPr>
      </w:pPr>
      <w:r w:rsidRPr="00691125">
        <w:rPr>
          <w:b/>
          <w:bCs/>
          <w:sz w:val="28"/>
          <w:szCs w:val="28"/>
          <w:lang w:val="uk-UA"/>
        </w:rPr>
        <w:t xml:space="preserve">ПОЯСНЮВАЛЬНА ЗАПИСКА ДО ІНВЕСТИЦІЙНОЇ ПРОГРАМИ КОМУНАЛЬНОГО ПІДПРИЄМСТВА «БУЧАСЕРВІС» </w:t>
      </w:r>
      <w:r>
        <w:rPr>
          <w:b/>
          <w:bCs/>
          <w:sz w:val="28"/>
          <w:szCs w:val="28"/>
          <w:lang w:val="uk-UA"/>
        </w:rPr>
        <w:t xml:space="preserve">                           НА 2022-2027</w:t>
      </w:r>
      <w:r w:rsidRPr="00691125">
        <w:rPr>
          <w:b/>
          <w:bCs/>
          <w:sz w:val="28"/>
          <w:szCs w:val="28"/>
          <w:lang w:val="uk-UA"/>
        </w:rPr>
        <w:t xml:space="preserve"> РОКИ</w:t>
      </w:r>
    </w:p>
    <w:p w:rsidR="00F8610F" w:rsidRDefault="00F8610F" w:rsidP="008C0968">
      <w:pPr>
        <w:pStyle w:val="NormalWeb"/>
        <w:ind w:firstLine="720"/>
        <w:jc w:val="both"/>
        <w:rPr>
          <w:i/>
          <w:sz w:val="28"/>
          <w:szCs w:val="28"/>
          <w:lang w:val="uk-UA"/>
        </w:rPr>
      </w:pPr>
      <w:r w:rsidRPr="00691125">
        <w:rPr>
          <w:i/>
          <w:sz w:val="28"/>
          <w:szCs w:val="28"/>
          <w:lang w:val="uk-UA"/>
        </w:rPr>
        <w:t xml:space="preserve">Інвестиційна програма КП «Бучасервіс» </w:t>
      </w:r>
      <w:r>
        <w:rPr>
          <w:i/>
          <w:sz w:val="28"/>
          <w:szCs w:val="28"/>
          <w:lang w:val="uk-UA"/>
        </w:rPr>
        <w:t>на 2022-2027 роки розроблена з у</w:t>
      </w:r>
      <w:r w:rsidRPr="00691125">
        <w:rPr>
          <w:i/>
          <w:sz w:val="28"/>
          <w:szCs w:val="28"/>
          <w:lang w:val="uk-UA"/>
        </w:rPr>
        <w:t>рахуванням  норм та положень Порядку розроблення, погодження та затвердження інвестиційних програм, затвердженого наказом Мінрегіону від 19.08.2020 № 191 ( надалі Порядок 191)</w:t>
      </w:r>
      <w:r>
        <w:rPr>
          <w:i/>
          <w:sz w:val="28"/>
          <w:szCs w:val="28"/>
          <w:lang w:val="uk-UA"/>
        </w:rPr>
        <w:t>.</w:t>
      </w:r>
      <w:r w:rsidRPr="00691125">
        <w:rPr>
          <w:color w:val="1D1D1D"/>
          <w:sz w:val="28"/>
          <w:szCs w:val="28"/>
          <w:shd w:val="clear" w:color="auto" w:fill="FFFFFF"/>
          <w:lang w:val="uk-UA"/>
        </w:rPr>
        <w:t xml:space="preserve">                         </w:t>
      </w:r>
      <w:r w:rsidRPr="00691125">
        <w:rPr>
          <w:bCs/>
          <w:color w:val="000000"/>
          <w:sz w:val="28"/>
          <w:szCs w:val="28"/>
          <w:lang w:val="uk-UA"/>
        </w:rPr>
        <w:t xml:space="preserve">                    </w:t>
      </w:r>
    </w:p>
    <w:p w:rsidR="00F8610F" w:rsidRPr="001B2D94" w:rsidRDefault="00F8610F" w:rsidP="008C0968">
      <w:pPr>
        <w:pStyle w:val="NormalWeb"/>
        <w:ind w:firstLine="720"/>
        <w:jc w:val="both"/>
        <w:rPr>
          <w:i/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Комунальне підприємство «Бучасервіс» (надалі- КП «Бучасервіс») створене </w:t>
      </w:r>
      <w:r w:rsidRPr="001B2D94">
        <w:rPr>
          <w:color w:val="000000"/>
          <w:sz w:val="28"/>
          <w:szCs w:val="28"/>
          <w:lang w:val="uk-UA"/>
        </w:rPr>
        <w:t>в місті Буча згідно рішення Бучанської міської ради «Про зміни назви комунального підприємства» від 31.05.2007р. № 236</w:t>
      </w:r>
      <w:r w:rsidRPr="001B2D94">
        <w:rPr>
          <w:sz w:val="28"/>
          <w:szCs w:val="28"/>
          <w:lang w:val="uk-UA"/>
        </w:rPr>
        <w:t xml:space="preserve"> з метою надання  споживачам Бучанської міської територіальної громади якісних житлово-комунальних послуг, в тому числі з централізованого водопостачання та централізованого водовідведення.      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КП «Бучасервіс»</w:t>
      </w:r>
      <w:r w:rsidRPr="001B2D94">
        <w:rPr>
          <w:bCs/>
          <w:color w:val="000000"/>
          <w:sz w:val="28"/>
          <w:szCs w:val="28"/>
          <w:lang w:val="uk-UA"/>
        </w:rPr>
        <w:t xml:space="preserve">  уповноважене з 01.03.2022р. на </w:t>
      </w:r>
      <w:bookmarkStart w:id="0" w:name="_Hlk93436291"/>
      <w:r w:rsidRPr="001B2D94">
        <w:rPr>
          <w:bCs/>
          <w:color w:val="000000"/>
          <w:sz w:val="28"/>
          <w:szCs w:val="28"/>
          <w:lang w:val="uk-UA"/>
        </w:rPr>
        <w:t>виконання послуг з централізованого водопостачання та централізованого водовідведення</w:t>
      </w:r>
      <w:bookmarkEnd w:id="0"/>
      <w:r w:rsidRPr="001B2D94">
        <w:rPr>
          <w:bCs/>
          <w:color w:val="000000"/>
          <w:sz w:val="28"/>
          <w:szCs w:val="28"/>
          <w:lang w:val="uk-UA"/>
        </w:rPr>
        <w:t xml:space="preserve"> на території  Бучанської міської територіальної громади згідно з рішенням  Бучанської міської ради  від 23.12.2021р. № 2796-26-VIII « Про визначення надавача послуг з централізованого водопостачання та централізованого водовідведення в Бучанській міській територіальній громаді на виконання послуг з централізованого водопостачання та централізованого водовідведення».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bCs/>
          <w:color w:val="000000"/>
          <w:sz w:val="28"/>
          <w:szCs w:val="28"/>
          <w:lang w:val="uk-UA"/>
        </w:rPr>
        <w:t xml:space="preserve">              </w:t>
      </w:r>
      <w:r w:rsidRPr="001B2D94">
        <w:rPr>
          <w:sz w:val="28"/>
          <w:szCs w:val="28"/>
          <w:lang w:val="uk-UA"/>
        </w:rPr>
        <w:t xml:space="preserve">КП «Бучасервіс» для </w:t>
      </w:r>
      <w:r w:rsidRPr="001B2D94">
        <w:rPr>
          <w:bCs/>
          <w:color w:val="000000"/>
          <w:sz w:val="28"/>
          <w:szCs w:val="28"/>
          <w:lang w:val="uk-UA"/>
        </w:rPr>
        <w:t>виконання послуг з централізованого водопостачання та централізованого водовідведення</w:t>
      </w:r>
      <w:r w:rsidRPr="001B2D94">
        <w:rPr>
          <w:sz w:val="28"/>
          <w:szCs w:val="28"/>
          <w:lang w:val="uk-UA"/>
        </w:rPr>
        <w:t xml:space="preserve"> отримало відповідні дозвільні документи:</w:t>
      </w:r>
    </w:p>
    <w:p w:rsidR="00F8610F" w:rsidRPr="001B2D94" w:rsidRDefault="00F8610F" w:rsidP="00691125">
      <w:pPr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>-дозвіл на спеціальне водокористування № 186/КВ/49д-21 від 21.12.2021р.;</w:t>
      </w:r>
    </w:p>
    <w:p w:rsidR="00F8610F" w:rsidRPr="001B2D94" w:rsidRDefault="00F8610F" w:rsidP="00691125">
      <w:pPr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>-ліцензію (безстрокову) на право провадження господарської діяльності з централізованого водопостачання та централізованого водовідведення на території Київської області , що  зазначено в розпорядженні Київської обласної державної адміністрації № 240 від 27.04.2021р.;</w:t>
      </w:r>
    </w:p>
    <w:p w:rsidR="00F8610F" w:rsidRPr="001B2D94" w:rsidRDefault="00F8610F" w:rsidP="00691125">
      <w:pPr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-поточні індивідуальні технологічні нормативи використання питної води, погоджені   Державним  агентством водних ресурсів України та   Департаментом екології  та природних ресурсів Київської обласної державної адміністрації. 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     КП «Бучасервіс» ставить за мету:        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•  безперебійне постачання якісної питної води споживачам;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</w:t>
      </w:r>
      <w:bookmarkStart w:id="1" w:name="_Hlk93432235"/>
      <w:r w:rsidRPr="001B2D94">
        <w:rPr>
          <w:sz w:val="28"/>
          <w:szCs w:val="28"/>
          <w:lang w:val="uk-UA"/>
        </w:rPr>
        <w:t>•</w:t>
      </w:r>
      <w:bookmarkEnd w:id="1"/>
      <w:r w:rsidRPr="001B2D94">
        <w:rPr>
          <w:sz w:val="28"/>
          <w:szCs w:val="28"/>
          <w:lang w:val="uk-UA"/>
        </w:rPr>
        <w:t xml:space="preserve"> прийняття стічних вод;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• розвиток і удосконалення систем водопостачання та водовідведення з метою максимального забезпечення потреб абонентів;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• надання інших платних видів послуг підприємствам, установам, організаціям і фізичним особам, які не заборонені законом; 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• здійснення заходів щодо охорони навколишнього середовища і бережливого використання природних ресурсів;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• виконання під’єднань, будівництво нових та поліпшення вже існуючих водопровідних та каналізаційних мереж.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      </w:t>
      </w:r>
      <w:r w:rsidRPr="001B2D94">
        <w:rPr>
          <w:bCs/>
          <w:color w:val="000000"/>
          <w:sz w:val="28"/>
          <w:szCs w:val="28"/>
          <w:lang w:val="uk-UA"/>
        </w:rPr>
        <w:t xml:space="preserve">Для надання </w:t>
      </w:r>
      <w:r w:rsidRPr="001B2D94">
        <w:rPr>
          <w:sz w:val="28"/>
          <w:szCs w:val="28"/>
          <w:lang w:val="uk-UA"/>
        </w:rPr>
        <w:t>КП «Бучасервіс»</w:t>
      </w:r>
      <w:r w:rsidRPr="001B2D94">
        <w:rPr>
          <w:bCs/>
          <w:color w:val="000000"/>
          <w:sz w:val="28"/>
          <w:szCs w:val="28"/>
          <w:lang w:val="uk-UA"/>
        </w:rPr>
        <w:t xml:space="preserve"> послуг з централізованого водопостачання та централізованого водовідведення  згідно з рішенням  Бучанської міської ради № 784-9-</w:t>
      </w:r>
      <w:r w:rsidRPr="001B2D94">
        <w:rPr>
          <w:bCs/>
          <w:color w:val="000000"/>
          <w:sz w:val="28"/>
          <w:szCs w:val="28"/>
          <w:lang w:val="en-US"/>
        </w:rPr>
        <w:t>VIII</w:t>
      </w:r>
      <w:r w:rsidRPr="001B2D94">
        <w:rPr>
          <w:bCs/>
          <w:color w:val="000000"/>
          <w:sz w:val="28"/>
          <w:szCs w:val="28"/>
          <w:lang w:val="uk-UA"/>
        </w:rPr>
        <w:t xml:space="preserve">  від 25 березня 2021р. та згідно з рішенням виконавчого комітету Бучанської міської ради від 18 жовтня 2021р. № 811 проведена інвентаризація об'єктів  водопостачання та водовідведення та передані на баланс  та у господарське відання підприємства об'єкти водопостачання та водовідведення, які знаходяться на території населених пунктів Бучанської міської територіальної громади.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1B2D94">
        <w:rPr>
          <w:sz w:val="28"/>
          <w:szCs w:val="28"/>
          <w:lang w:val="uk-UA"/>
        </w:rPr>
        <w:t xml:space="preserve">                 Планова к</w:t>
      </w:r>
      <w:r w:rsidRPr="001B2D94">
        <w:rPr>
          <w:sz w:val="28"/>
          <w:szCs w:val="28"/>
        </w:rPr>
        <w:t xml:space="preserve">ількість </w:t>
      </w:r>
      <w:r w:rsidRPr="001B2D94">
        <w:rPr>
          <w:sz w:val="28"/>
          <w:szCs w:val="28"/>
          <w:lang w:val="uk-UA"/>
        </w:rPr>
        <w:t>споживачів</w:t>
      </w:r>
      <w:r w:rsidRPr="001B2D94">
        <w:rPr>
          <w:sz w:val="28"/>
          <w:szCs w:val="28"/>
        </w:rPr>
        <w:t>, як</w:t>
      </w:r>
      <w:r w:rsidRPr="001B2D94">
        <w:rPr>
          <w:sz w:val="28"/>
          <w:szCs w:val="28"/>
          <w:lang w:val="uk-UA"/>
        </w:rPr>
        <w:t>им планується</w:t>
      </w:r>
      <w:r w:rsidRPr="001B2D94">
        <w:rPr>
          <w:sz w:val="28"/>
          <w:szCs w:val="28"/>
        </w:rPr>
        <w:t xml:space="preserve"> нада</w:t>
      </w:r>
      <w:r w:rsidRPr="001B2D94">
        <w:rPr>
          <w:sz w:val="28"/>
          <w:szCs w:val="28"/>
          <w:lang w:val="uk-UA"/>
        </w:rPr>
        <w:t>вати</w:t>
      </w:r>
      <w:r w:rsidRPr="001B2D94">
        <w:rPr>
          <w:sz w:val="28"/>
          <w:szCs w:val="28"/>
        </w:rPr>
        <w:t xml:space="preserve"> послуг</w:t>
      </w:r>
      <w:r w:rsidRPr="001B2D94">
        <w:rPr>
          <w:sz w:val="28"/>
          <w:szCs w:val="28"/>
          <w:lang w:val="uk-UA"/>
        </w:rPr>
        <w:t xml:space="preserve">и </w:t>
      </w:r>
      <w:r w:rsidRPr="001B2D94">
        <w:rPr>
          <w:bCs/>
          <w:color w:val="000000"/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1B2D94">
        <w:rPr>
          <w:sz w:val="28"/>
          <w:szCs w:val="28"/>
        </w:rPr>
        <w:t>, станом на 01.</w:t>
      </w:r>
      <w:r w:rsidRPr="001B2D94">
        <w:rPr>
          <w:sz w:val="28"/>
          <w:szCs w:val="28"/>
          <w:lang w:val="uk-UA"/>
        </w:rPr>
        <w:t>12</w:t>
      </w:r>
      <w:r w:rsidRPr="001B2D94">
        <w:rPr>
          <w:sz w:val="28"/>
          <w:szCs w:val="28"/>
        </w:rPr>
        <w:t>.202</w:t>
      </w:r>
      <w:r w:rsidRPr="001B2D94">
        <w:rPr>
          <w:sz w:val="28"/>
          <w:szCs w:val="28"/>
          <w:lang w:val="uk-UA"/>
        </w:rPr>
        <w:t>1</w:t>
      </w:r>
      <w:r w:rsidRPr="001B2D94">
        <w:rPr>
          <w:sz w:val="28"/>
          <w:szCs w:val="28"/>
        </w:rPr>
        <w:t xml:space="preserve"> року становить</w:t>
      </w:r>
      <w:r w:rsidRPr="001B2D94">
        <w:rPr>
          <w:sz w:val="28"/>
          <w:szCs w:val="28"/>
          <w:lang w:val="uk-UA"/>
        </w:rPr>
        <w:t>:</w:t>
      </w:r>
      <w:r w:rsidRPr="001B2D94">
        <w:rPr>
          <w:sz w:val="28"/>
          <w:szCs w:val="28"/>
        </w:rPr>
        <w:t xml:space="preserve">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92" w:type="dxa"/>
        <w:tblInd w:w="93" w:type="dxa"/>
        <w:tblLayout w:type="fixed"/>
        <w:tblLook w:val="00A0"/>
      </w:tblPr>
      <w:tblGrid>
        <w:gridCol w:w="547"/>
        <w:gridCol w:w="4126"/>
        <w:gridCol w:w="1642"/>
        <w:gridCol w:w="1440"/>
        <w:gridCol w:w="1637"/>
      </w:tblGrid>
      <w:tr w:rsidR="00F8610F" w:rsidRPr="001B2D94" w:rsidTr="00A7751D">
        <w:trPr>
          <w:trHeight w:val="29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Кількість особових рахунків                                   всього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E030B4">
            <w:pPr>
              <w:pStyle w:val="NormalWeb"/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Кількість особових рахунків                     - населення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E030B4">
            <w:pPr>
              <w:pStyle w:val="NormalWeb"/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Кількість особових рахунків                 - інші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245329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245329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м.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Буча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245329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245329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19616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245329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444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с</w:t>
            </w:r>
            <w:r w:rsidRPr="001B2D94">
              <w:rPr>
                <w:sz w:val="28"/>
                <w:szCs w:val="28"/>
              </w:rPr>
              <w:t>ел</w:t>
            </w:r>
            <w:r w:rsidRPr="001B2D94">
              <w:rPr>
                <w:sz w:val="28"/>
                <w:szCs w:val="28"/>
                <w:lang w:val="uk-UA"/>
              </w:rPr>
              <w:t>.</w:t>
            </w:r>
            <w:r w:rsidRPr="001B2D94">
              <w:rPr>
                <w:sz w:val="28"/>
                <w:szCs w:val="28"/>
              </w:rPr>
              <w:t xml:space="preserve"> Ворзель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2572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58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3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с</w:t>
            </w:r>
            <w:r w:rsidRPr="001B2D94">
              <w:rPr>
                <w:sz w:val="28"/>
                <w:szCs w:val="28"/>
              </w:rPr>
              <w:t>ел</w:t>
            </w:r>
            <w:r w:rsidRPr="001B2D94">
              <w:rPr>
                <w:sz w:val="28"/>
                <w:szCs w:val="28"/>
                <w:lang w:val="uk-UA"/>
              </w:rPr>
              <w:t>.</w:t>
            </w:r>
            <w:r w:rsidRPr="001B2D94">
              <w:rPr>
                <w:sz w:val="28"/>
                <w:szCs w:val="28"/>
              </w:rPr>
              <w:t xml:space="preserve"> Бабинці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6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Блиставиця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</w:t>
            </w:r>
          </w:p>
        </w:tc>
      </w:tr>
      <w:tr w:rsidR="00F8610F" w:rsidRPr="001B2D94" w:rsidTr="00E030B4">
        <w:trPr>
          <w:trHeight w:val="3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Гаврилівка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1225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1213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12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6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Здвижівка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3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7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Мироцьке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8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Луб'янка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3</w:t>
            </w:r>
          </w:p>
        </w:tc>
      </w:tr>
      <w:tr w:rsidR="00F8610F" w:rsidRPr="001B2D94" w:rsidTr="00E030B4">
        <w:trPr>
          <w:trHeight w:val="39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9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с. Синяк (с. Червоне, с.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Раківка, с. Вороньківка)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164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13</w:t>
            </w:r>
          </w:p>
        </w:tc>
      </w:tr>
      <w:tr w:rsidR="00F8610F" w:rsidRPr="001B2D94" w:rsidTr="00E030B4">
        <w:trPr>
          <w:trHeight w:val="29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sz w:val="28"/>
                <w:szCs w:val="28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bCs/>
                <w:sz w:val="28"/>
                <w:szCs w:val="28"/>
              </w:rPr>
            </w:pPr>
            <w:r w:rsidRPr="001B2D94">
              <w:rPr>
                <w:bCs/>
                <w:sz w:val="28"/>
                <w:szCs w:val="28"/>
              </w:rPr>
              <w:t>ВСЬОГО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bCs/>
                <w:sz w:val="28"/>
                <w:szCs w:val="28"/>
              </w:rPr>
            </w:pPr>
            <w:r w:rsidRPr="001B2D94">
              <w:rPr>
                <w:bCs/>
                <w:sz w:val="28"/>
                <w:szCs w:val="28"/>
              </w:rPr>
              <w:t>24620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bCs/>
                <w:sz w:val="28"/>
                <w:szCs w:val="28"/>
              </w:rPr>
            </w:pPr>
            <w:r w:rsidRPr="001B2D94">
              <w:rPr>
                <w:bCs/>
                <w:sz w:val="28"/>
                <w:szCs w:val="28"/>
              </w:rPr>
              <w:t>24073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0F" w:rsidRPr="001B2D94" w:rsidRDefault="00F8610F" w:rsidP="00691125">
            <w:pPr>
              <w:pStyle w:val="NormalWeb"/>
              <w:jc w:val="both"/>
              <w:rPr>
                <w:bCs/>
                <w:sz w:val="28"/>
                <w:szCs w:val="28"/>
              </w:rPr>
            </w:pPr>
            <w:r w:rsidRPr="001B2D94">
              <w:rPr>
                <w:bCs/>
                <w:sz w:val="28"/>
                <w:szCs w:val="28"/>
              </w:rPr>
              <w:t>547</w:t>
            </w:r>
          </w:p>
        </w:tc>
      </w:tr>
    </w:tbl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   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 </w:t>
      </w:r>
      <w:r w:rsidRPr="001B2D94">
        <w:rPr>
          <w:bCs/>
          <w:sz w:val="28"/>
          <w:szCs w:val="28"/>
          <w:shd w:val="clear" w:color="auto" w:fill="FFFFFF"/>
          <w:lang w:val="uk-UA"/>
        </w:rPr>
        <w:t>Дана  інвестиційна програма у сумі 8 960 785 грн з ПДВ                                     (7 467 320,83 грн  без ПДВ) запроваджується з метою забезпечення діяльності водопровідно-каналізаційного господарства, реконструкції, будівництва, модернізації об'єктів з централізованого водопостачання  та централізованого водовідведення у населених пунктах Бучанської міської територіальної громади,  у тому числі:</w:t>
      </w:r>
    </w:p>
    <w:p w:rsidR="00F8610F" w:rsidRPr="001B2D94" w:rsidRDefault="00F8610F" w:rsidP="00691125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98"/>
        <w:gridCol w:w="3991"/>
      </w:tblGrid>
      <w:tr w:rsidR="00F8610F" w:rsidRPr="001B2D94" w:rsidTr="001B2D94">
        <w:tc>
          <w:tcPr>
            <w:tcW w:w="5098" w:type="dxa"/>
          </w:tcPr>
          <w:p w:rsidR="00F8610F" w:rsidRPr="001B2D94" w:rsidRDefault="00F8610F" w:rsidP="001F42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Складові інвестиційної програми</w:t>
            </w:r>
          </w:p>
        </w:tc>
        <w:tc>
          <w:tcPr>
            <w:tcW w:w="3991" w:type="dxa"/>
          </w:tcPr>
          <w:p w:rsidR="00F8610F" w:rsidRPr="001B2D94" w:rsidRDefault="00F8610F" w:rsidP="001B2D94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Сума інвестиційної програми, грн    без ПДВ</w:t>
            </w:r>
          </w:p>
        </w:tc>
      </w:tr>
      <w:tr w:rsidR="00F8610F" w:rsidRPr="001B2D94" w:rsidTr="001B2D94">
        <w:tc>
          <w:tcPr>
            <w:tcW w:w="5098" w:type="dxa"/>
          </w:tcPr>
          <w:p w:rsidR="00F8610F" w:rsidRPr="001B2D94" w:rsidRDefault="00F8610F" w:rsidP="001F42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Інвестиційна програма по  складовій водопостачання</w:t>
            </w:r>
          </w:p>
        </w:tc>
        <w:tc>
          <w:tcPr>
            <w:tcW w:w="3991" w:type="dxa"/>
          </w:tcPr>
          <w:p w:rsidR="00F8610F" w:rsidRPr="001B2D94" w:rsidRDefault="00F8610F" w:rsidP="0033180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3 883 987,50</w:t>
            </w:r>
          </w:p>
        </w:tc>
      </w:tr>
      <w:tr w:rsidR="00F8610F" w:rsidRPr="001B2D94" w:rsidTr="001B2D94">
        <w:tc>
          <w:tcPr>
            <w:tcW w:w="5098" w:type="dxa"/>
          </w:tcPr>
          <w:p w:rsidR="00F8610F" w:rsidRPr="001B2D94" w:rsidRDefault="00F8610F" w:rsidP="001F42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Інвестиційна програма по складовій  водовідведення</w:t>
            </w:r>
          </w:p>
        </w:tc>
        <w:tc>
          <w:tcPr>
            <w:tcW w:w="3991" w:type="dxa"/>
          </w:tcPr>
          <w:p w:rsidR="00F8610F" w:rsidRPr="001B2D94" w:rsidRDefault="00F8610F" w:rsidP="0033180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3 583 333,33</w:t>
            </w:r>
          </w:p>
        </w:tc>
      </w:tr>
    </w:tbl>
    <w:p w:rsidR="00F8610F" w:rsidRDefault="00F8610F" w:rsidP="00E030B4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</w:t>
      </w:r>
    </w:p>
    <w:p w:rsidR="00F8610F" w:rsidRPr="001B2D94" w:rsidRDefault="00F8610F" w:rsidP="00E030B4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1B2D94">
        <w:rPr>
          <w:b/>
          <w:bCs/>
          <w:sz w:val="28"/>
          <w:szCs w:val="28"/>
          <w:u w:val="single"/>
          <w:shd w:val="clear" w:color="auto" w:fill="FFFFFF"/>
          <w:lang w:val="uk-UA"/>
        </w:rPr>
        <w:t>Інвестиційна програма по  складовій водопостачання</w:t>
      </w:r>
    </w:p>
    <w:p w:rsidR="00F8610F" w:rsidRPr="001B2D94" w:rsidRDefault="00F8610F" w:rsidP="00E030B4">
      <w:pPr>
        <w:pStyle w:val="NormalWeb"/>
        <w:spacing w:before="0" w:beforeAutospacing="0" w:after="0" w:afterAutospacing="0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Pr="001B2D94" w:rsidRDefault="00F8610F" w:rsidP="00E030B4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Джерелом водопостачання є артезіанські свердловини з водоносних горизонтів Бучак та Сеноман, глибина яких досягає  від 76 до </w:t>
      </w:r>
      <w:smartTag w:uri="urn:schemas-microsoft-com:office:smarttags" w:element="metricconverter">
        <w:smartTagPr>
          <w:attr w:name="ProductID" w:val="102 м"/>
        </w:smartTagPr>
        <w:r w:rsidRPr="001B2D94">
          <w:rPr>
            <w:sz w:val="28"/>
            <w:szCs w:val="28"/>
            <w:lang w:val="uk-UA"/>
          </w:rPr>
          <w:t>102 м</w:t>
        </w:r>
      </w:smartTag>
      <w:r w:rsidRPr="001B2D94">
        <w:rPr>
          <w:sz w:val="28"/>
          <w:szCs w:val="28"/>
          <w:lang w:val="uk-UA"/>
        </w:rPr>
        <w:t>, централізоване водопостачання з яких розпочалося з  1970  року.  Загальна кількість свердловин - 77, в т.ч. працюючі - 58, непрацюючі - 19. На даний момент надавачем послуг централізованого водопостачання є                                    КП «Ірпіньводоканал», яке  використовує потужності, які знаходяться на території Бучанської міської територіальної громади і є її власністю.</w:t>
      </w:r>
    </w:p>
    <w:p w:rsidR="00F8610F" w:rsidRPr="001B2D94" w:rsidRDefault="00F8610F" w:rsidP="00E030B4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Технологічний процес підйому води складається з етапів:</w:t>
      </w:r>
    </w:p>
    <w:p w:rsidR="00F8610F" w:rsidRPr="001B2D94" w:rsidRDefault="00F8610F" w:rsidP="00E030B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</w:t>
      </w:r>
      <w:r w:rsidRPr="001B2D94">
        <w:rPr>
          <w:sz w:val="28"/>
          <w:szCs w:val="28"/>
          <w:shd w:val="clear" w:color="auto" w:fill="FFFFFF"/>
          <w:lang w:val="uk-UA"/>
        </w:rPr>
        <w:t>за допомогою насосів  вода піднімається на поверхню;</w:t>
      </w:r>
    </w:p>
    <w:p w:rsidR="00F8610F" w:rsidRPr="001B2D94" w:rsidRDefault="00F8610F" w:rsidP="00E030B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</w:t>
      </w:r>
      <w:r w:rsidRPr="001B2D94">
        <w:rPr>
          <w:sz w:val="28"/>
          <w:szCs w:val="28"/>
          <w:shd w:val="clear" w:color="auto" w:fill="FFFFFF"/>
          <w:lang w:val="uk-UA"/>
        </w:rPr>
        <w:t>далі</w:t>
      </w:r>
      <w:r w:rsidRPr="001B2D94">
        <w:rPr>
          <w:sz w:val="28"/>
          <w:szCs w:val="28"/>
          <w:shd w:val="clear" w:color="auto" w:fill="FFFFFF"/>
        </w:rPr>
        <w:t> </w:t>
      </w:r>
      <w:r w:rsidRPr="001B2D94">
        <w:rPr>
          <w:sz w:val="28"/>
          <w:szCs w:val="28"/>
          <w:shd w:val="clear" w:color="auto" w:fill="FFFFFF"/>
          <w:lang w:val="uk-UA"/>
        </w:rPr>
        <w:t>подається</w:t>
      </w:r>
      <w:r w:rsidRPr="001B2D94">
        <w:rPr>
          <w:sz w:val="28"/>
          <w:szCs w:val="28"/>
          <w:shd w:val="clear" w:color="auto" w:fill="FFFFFF"/>
        </w:rPr>
        <w:t> </w:t>
      </w:r>
      <w:r w:rsidRPr="001B2D94">
        <w:rPr>
          <w:sz w:val="28"/>
          <w:szCs w:val="28"/>
          <w:shd w:val="clear" w:color="auto" w:fill="FFFFFF"/>
          <w:lang w:val="uk-UA"/>
        </w:rPr>
        <w:t>на станцію знезалізнення</w:t>
      </w:r>
      <w:r w:rsidRPr="001B2D94">
        <w:rPr>
          <w:sz w:val="28"/>
          <w:szCs w:val="28"/>
          <w:shd w:val="clear" w:color="auto" w:fill="FFFFFF"/>
        </w:rPr>
        <w:t> </w:t>
      </w:r>
      <w:r w:rsidRPr="001B2D94">
        <w:rPr>
          <w:sz w:val="28"/>
          <w:szCs w:val="28"/>
          <w:shd w:val="clear" w:color="auto" w:fill="FFFFFF"/>
          <w:lang w:val="uk-UA"/>
        </w:rPr>
        <w:t>води ( при  наявності такої)</w:t>
      </w:r>
      <w:r w:rsidRPr="001B2D94">
        <w:rPr>
          <w:sz w:val="28"/>
          <w:szCs w:val="28"/>
          <w:lang w:val="uk-UA"/>
        </w:rPr>
        <w:t>;</w:t>
      </w:r>
    </w:p>
    <w:p w:rsidR="00F8610F" w:rsidRPr="001B2D94" w:rsidRDefault="00F8610F" w:rsidP="00E030B4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>після фільтрації та очищення</w:t>
      </w:r>
      <w:r w:rsidRPr="001B2D94">
        <w:rPr>
          <w:sz w:val="28"/>
          <w:szCs w:val="28"/>
          <w:shd w:val="clear" w:color="auto" w:fill="FFFFFF"/>
        </w:rPr>
        <w:t> </w:t>
      </w:r>
      <w:r w:rsidRPr="001B2D94">
        <w:rPr>
          <w:sz w:val="28"/>
          <w:szCs w:val="28"/>
          <w:shd w:val="clear" w:color="auto" w:fill="FFFFFF"/>
          <w:lang w:val="uk-UA"/>
        </w:rPr>
        <w:t xml:space="preserve"> вода через резервуари (РЧВ) та водонапірні башти подається</w:t>
      </w:r>
      <w:r w:rsidRPr="001B2D94">
        <w:rPr>
          <w:sz w:val="28"/>
          <w:szCs w:val="28"/>
          <w:shd w:val="clear" w:color="auto" w:fill="FFFFFF"/>
        </w:rPr>
        <w:t> </w:t>
      </w:r>
      <w:r w:rsidRPr="001B2D94">
        <w:rPr>
          <w:sz w:val="28"/>
          <w:szCs w:val="28"/>
          <w:shd w:val="clear" w:color="auto" w:fill="FFFFFF"/>
          <w:lang w:val="uk-UA"/>
        </w:rPr>
        <w:t>в мережі населених пунктів Бучанської МТГ</w:t>
      </w:r>
      <w:r w:rsidRPr="001B2D94">
        <w:rPr>
          <w:sz w:val="28"/>
          <w:szCs w:val="28"/>
          <w:lang w:val="uk-UA"/>
        </w:rPr>
        <w:t>.</w:t>
      </w:r>
    </w:p>
    <w:p w:rsidR="00F8610F" w:rsidRPr="001B2D94" w:rsidRDefault="00F8610F" w:rsidP="00E030B4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Узагальнену характеристику об'єктів з централізованого водопостачання наведено у додатку № 6 , який додається до даної пояснювальної записки у відповідності до пп.5 п.2 р. ІІ, Порядку 191.</w:t>
      </w:r>
    </w:p>
    <w:p w:rsidR="00F8610F" w:rsidRPr="001B2D94" w:rsidRDefault="00F8610F" w:rsidP="00331801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Важливим етапом технологічного процесу водопостачання є  знезалізнення води. 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серпня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2018р. відбулася знакова подія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 xml:space="preserve"> у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житті територіальної громади Бучі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 xml:space="preserve"> –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введення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експлуатацію станції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</w:rPr>
        <w:t xml:space="preserve"> знезалізнення по вул. Пушкінській, 78. Станція була побудована за кошти міського бюджету Бучі</w:t>
      </w:r>
      <w:r w:rsidRPr="001B2D9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 КП «Б</w:t>
      </w:r>
      <w:r w:rsidRPr="001B2D94">
        <w:rPr>
          <w:sz w:val="28"/>
          <w:szCs w:val="28"/>
          <w:lang w:val="uk-UA"/>
        </w:rPr>
        <w:t>учасервіс» планує продовжувати будівництво станцій знезалізнення, що значно покращить якість питної води та вплине на поліпшення стану здоров`я жителів Бучанської МТГ.  В рамках даної інвестиційної програми заплановані інвестиції в будівництво станції знезалізнення за адресою м. Буча, вул. Склозаводська, 12-Б, вартість даного інвестиційного проекту складає – 3 824,8 тис. грн. з ПДВ.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lang w:val="uk-UA"/>
        </w:rPr>
        <w:t xml:space="preserve">            З</w:t>
      </w:r>
      <w:r w:rsidRPr="001B2D94">
        <w:rPr>
          <w:bCs/>
          <w:sz w:val="28"/>
          <w:szCs w:val="28"/>
          <w:shd w:val="clear" w:color="auto" w:fill="FFFFFF"/>
          <w:lang w:val="uk-UA"/>
        </w:rPr>
        <w:t xml:space="preserve"> метою забезпечення діяльності водопровідно-каналізаційного господарства, реконструкції, будівництва, модернізації об’єктів з централізованого водопостачання в рамках даної </w:t>
      </w:r>
      <w:r w:rsidRPr="001B2D94">
        <w:rPr>
          <w:sz w:val="28"/>
          <w:szCs w:val="28"/>
          <w:lang w:val="uk-UA"/>
        </w:rPr>
        <w:t>інвестиційної програми заплановані інвестиції в ремонт водогону  в с. Ворзель за адресами</w:t>
      </w:r>
      <w:r w:rsidRPr="001B2D94">
        <w:rPr>
          <w:bCs/>
          <w:sz w:val="28"/>
          <w:szCs w:val="28"/>
          <w:shd w:val="clear" w:color="auto" w:fill="FFFFFF"/>
          <w:lang w:val="uk-UA"/>
        </w:rPr>
        <w:t xml:space="preserve"> :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bCs/>
          <w:sz w:val="28"/>
          <w:szCs w:val="28"/>
          <w:shd w:val="clear" w:color="auto" w:fill="FFFFFF"/>
          <w:lang w:val="uk-UA"/>
        </w:rPr>
        <w:t>- с. Ворзель,  вул. Ватутіна, від буд.54 до буд. 42- реконструкція водогону;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bCs/>
          <w:sz w:val="28"/>
          <w:szCs w:val="28"/>
          <w:shd w:val="clear" w:color="auto" w:fill="FFFFFF"/>
          <w:lang w:val="uk-UA"/>
        </w:rPr>
        <w:t>- с. Ворзель,  по вул. Пушкіна ( від вул. Березова до вул. Героїв Ворзеля)- будівництво водогону ;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bCs/>
          <w:sz w:val="28"/>
          <w:szCs w:val="28"/>
          <w:shd w:val="clear" w:color="auto" w:fill="FFFFFF"/>
          <w:lang w:val="uk-UA"/>
        </w:rPr>
        <w:t>-с. Ворзель по вул. Котляревського (від вул. Чкалова до вул. Березова)- будівництво водогону.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</w:t>
      </w:r>
      <w:r w:rsidRPr="001B2D94">
        <w:rPr>
          <w:sz w:val="28"/>
          <w:szCs w:val="28"/>
          <w:shd w:val="clear" w:color="auto" w:fill="FFFFFF"/>
          <w:lang w:val="uk-UA"/>
        </w:rPr>
        <w:t>Кошторисні частини проектних документацій  по ремонту водогону в с. Ворзель затверджені рішеннями виконавчого комітету Бучанської міської ради:</w:t>
      </w:r>
    </w:p>
    <w:p w:rsidR="00F8610F" w:rsidRPr="001B2D94" w:rsidRDefault="00F8610F" w:rsidP="007B604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>від 10.09.2021р. № 658  « Про затвердження кошторисної частини проектної документації по робочому проекту «Реконструкція водогону комунальної власності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1B2D94">
        <w:rPr>
          <w:bCs/>
          <w:sz w:val="28"/>
          <w:szCs w:val="28"/>
          <w:shd w:val="clear" w:color="auto" w:fill="FFFFFF"/>
          <w:lang w:val="uk-UA"/>
        </w:rPr>
        <w:t>по вул. Пушкіна ( від вул. Березова до вул. Героїв Ворзеля), с. Ворзель Бучанського р-ну, Київської обл.,  загальна кошторисна вартість  170 860 грн. з ПДВ ;</w:t>
      </w:r>
    </w:p>
    <w:p w:rsidR="00F8610F" w:rsidRPr="001B2D94" w:rsidRDefault="00F8610F" w:rsidP="007B604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>від 10.09.2021р. № 657 « Про затвердження кошторисної частини проектної документації по робочому проекту «Реконструкція водогону комунальної власності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</w:t>
      </w:r>
      <w:r w:rsidRPr="001B2D94">
        <w:rPr>
          <w:bCs/>
          <w:sz w:val="28"/>
          <w:szCs w:val="28"/>
          <w:shd w:val="clear" w:color="auto" w:fill="FFFFFF"/>
          <w:lang w:val="uk-UA"/>
        </w:rPr>
        <w:t>по вул. Котляревського ( від вул. Чкалова до вул. Березова), с. Ворзель Бучанського р-ну, Київської обл., загальна кошторисна вартість 233 491 грн. з ПДВ;</w:t>
      </w:r>
    </w:p>
    <w:p w:rsidR="00F8610F" w:rsidRPr="001B2D94" w:rsidRDefault="00F8610F" w:rsidP="007B604C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>від 10.09.2021р. № 656 « Про затвердження кошторисної частини проектної документації по робочому проекту «Реконструкція водогону комунальної власності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</w:t>
      </w:r>
      <w:r w:rsidRPr="001B2D94">
        <w:rPr>
          <w:bCs/>
          <w:sz w:val="28"/>
          <w:szCs w:val="28"/>
          <w:shd w:val="clear" w:color="auto" w:fill="FFFFFF"/>
          <w:lang w:val="uk-UA"/>
        </w:rPr>
        <w:t>(вул. Ватутіна, від буд. 54 до буд. 42), с. Ворзель Бучанського р-ну, Київської обл., загальна кошторисна вартість 107 776 грн з ПДВ.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bCs/>
          <w:sz w:val="28"/>
          <w:szCs w:val="28"/>
          <w:shd w:val="clear" w:color="auto" w:fill="FFFFFF"/>
          <w:lang w:val="uk-UA"/>
        </w:rPr>
        <w:t xml:space="preserve">             В рамках даної </w:t>
      </w:r>
      <w:r w:rsidRPr="001B2D94">
        <w:rPr>
          <w:sz w:val="28"/>
          <w:szCs w:val="28"/>
          <w:lang w:val="uk-UA"/>
        </w:rPr>
        <w:t>інвестиційної програми заплановані інвестиції в ремонт  труб, насосу, тросу та електрошафи по населеним пунктам Бучанської територіальної громади : смт. Бабинці ( 155 858 грн з ПДВ),                   с. Блиставиця (70 000 грн з ПДВ), с. Луб’янка (49 000 грн з ПДВ),                          с. Здвижівка ( 49 000 грн з ПДВ).</w:t>
      </w:r>
    </w:p>
    <w:p w:rsidR="00F8610F" w:rsidRPr="001B2D94" w:rsidRDefault="00F8610F" w:rsidP="00E0282F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  </w:t>
      </w:r>
      <w:r w:rsidRPr="001B2D94">
        <w:rPr>
          <w:sz w:val="28"/>
          <w:szCs w:val="28"/>
          <w:shd w:val="clear" w:color="auto" w:fill="FFFFFF"/>
          <w:lang w:val="uk-UA"/>
        </w:rPr>
        <w:t>Кошторисні частини проектної  документації, виготовлені  спеціалістами КП «Бучасервіс» та підрядної організації,  додаються.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  Узагальнені дані по інвестиційній складовій водопостачання:</w:t>
      </w:r>
    </w:p>
    <w:p w:rsidR="00F8610F" w:rsidRPr="001B2D94" w:rsidRDefault="00F8610F" w:rsidP="00667ED3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88"/>
        <w:gridCol w:w="2160"/>
      </w:tblGrid>
      <w:tr w:rsidR="00F8610F" w:rsidRPr="001B2D94" w:rsidTr="00B324B8">
        <w:tc>
          <w:tcPr>
            <w:tcW w:w="7488" w:type="dxa"/>
            <w:vAlign w:val="center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B2D94">
              <w:rPr>
                <w:b/>
                <w:sz w:val="28"/>
                <w:szCs w:val="28"/>
                <w:lang w:val="uk-UA"/>
              </w:rPr>
              <w:t>Складові  інвестиційної програми</w:t>
            </w:r>
          </w:p>
        </w:tc>
        <w:tc>
          <w:tcPr>
            <w:tcW w:w="2160" w:type="dxa"/>
            <w:vAlign w:val="center"/>
          </w:tcPr>
          <w:p w:rsidR="00F8610F" w:rsidRPr="001B2D94" w:rsidRDefault="00F8610F" w:rsidP="00456176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B2D94">
              <w:rPr>
                <w:b/>
                <w:sz w:val="28"/>
                <w:szCs w:val="28"/>
                <w:lang w:val="uk-UA"/>
              </w:rPr>
              <w:t>Вартісні показники, грн, без ПДВ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B324B8">
            <w:pPr>
              <w:pStyle w:val="NormalWeb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Загальна кошторисна вартість по об’єктам водопостачання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3 883 987,50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Станція знезалізненя м. Буча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3 187 333,33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смт. Бабинці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129 881,67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водогону в с. Ворзель, вул. Ватутіна, від буд. 54 до буд. 42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89 813,33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 xml:space="preserve">Ремонт водогону в с. Ворзель, </w:t>
            </w: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по вул. Пушкіна (від вул. Березова до вул. Героїв Ворзеля)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142 383,33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 xml:space="preserve">Ремонт водогону в с. Ворзель, </w:t>
            </w: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по вул. Котляревського (від вул. Чкалова до вул. Березова)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194 575,83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Блиставиця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58 333,33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Луб’янка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40 833,33</w:t>
            </w:r>
          </w:p>
        </w:tc>
      </w:tr>
      <w:tr w:rsidR="00F8610F" w:rsidRPr="001B2D94" w:rsidTr="00B324B8">
        <w:tc>
          <w:tcPr>
            <w:tcW w:w="748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Здвижівка</w:t>
            </w:r>
          </w:p>
        </w:tc>
        <w:tc>
          <w:tcPr>
            <w:tcW w:w="2160" w:type="dxa"/>
          </w:tcPr>
          <w:p w:rsidR="00F8610F" w:rsidRPr="001B2D94" w:rsidRDefault="00F8610F" w:rsidP="004E6DE6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40 833,33</w:t>
            </w:r>
          </w:p>
        </w:tc>
      </w:tr>
    </w:tbl>
    <w:p w:rsidR="00F8610F" w:rsidRPr="001B2D94" w:rsidRDefault="00F8610F" w:rsidP="00331801">
      <w:pPr>
        <w:pStyle w:val="NormalWeb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F8610F" w:rsidRPr="001B2D94" w:rsidRDefault="00F8610F" w:rsidP="00A452CF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</w:t>
      </w:r>
    </w:p>
    <w:p w:rsidR="00F8610F" w:rsidRPr="001B2D94" w:rsidRDefault="00F8610F" w:rsidP="00A452CF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Pr="001B2D94" w:rsidRDefault="00F8610F" w:rsidP="00A452CF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Default="00F8610F" w:rsidP="001B2D94">
      <w:pPr>
        <w:pStyle w:val="NormalWeb"/>
        <w:spacing w:before="0" w:beforeAutospacing="0" w:after="0" w:afterAutospacing="0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Pr="001B2D94" w:rsidRDefault="00F8610F" w:rsidP="001B2D94">
      <w:pPr>
        <w:pStyle w:val="NormalWeb"/>
        <w:spacing w:before="0" w:beforeAutospacing="0" w:after="0" w:afterAutospacing="0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Pr="001B2D94" w:rsidRDefault="00F8610F" w:rsidP="00A452CF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u w:val="single"/>
          <w:shd w:val="clear" w:color="auto" w:fill="FFFFFF"/>
          <w:lang w:val="uk-UA"/>
        </w:rPr>
        <w:t>Інвестиційна програма по  складовій водовідведення</w:t>
      </w:r>
    </w:p>
    <w:p w:rsidR="00F8610F" w:rsidRPr="001B2D94" w:rsidRDefault="00F8610F" w:rsidP="00A452CF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  <w:shd w:val="clear" w:color="auto" w:fill="FFFFFF"/>
          <w:lang w:val="uk-UA"/>
        </w:rPr>
      </w:pPr>
    </w:p>
    <w:p w:rsidR="00F8610F" w:rsidRPr="001B2D94" w:rsidRDefault="00F8610F" w:rsidP="008026AC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В Бучанській міській територіальній громаді експлуатується загально сплавна система каналізації по каналізаційних вуличних колекторах (схема напірних та каналізаційних колекторів в м. Буча додається).  Водовідведення здійснюється шляхом перекачки  через систему КНС ( каналізаційних насосних станцій)  та самопливних та напірних колекторів на  одну з головних КНС, яка є основним вузлом по перекачці стоків з найбільших районів Бучанської МТГ, таких як КНС по вул. Склозаводська в м. Буча, КНС в с. Блиставиця, КНС в районі Мельники, та частково з прилеглих територіальних громад:  с. Гостомель та частина м. Ірпеня, на головну КНС №8 в м. Ірпінь і по напірним колекторам в мережі м. Києва. В системі  водовідведення Бучанської територіальної громади задіяно 15 каналізаційних насосних станцій.  45% КНС  потребують реконструкції та ремонтних робіт.</w:t>
      </w:r>
    </w:p>
    <w:p w:rsidR="00F8610F" w:rsidRPr="001B2D94" w:rsidRDefault="00F8610F" w:rsidP="008026AC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</w:t>
      </w:r>
      <w:r w:rsidRPr="001B2D94">
        <w:rPr>
          <w:b/>
          <w:bCs/>
          <w:sz w:val="28"/>
          <w:szCs w:val="28"/>
          <w:lang w:val="uk-UA"/>
        </w:rPr>
        <w:t xml:space="preserve">    </w:t>
      </w:r>
      <w:r w:rsidRPr="001B2D94">
        <w:rPr>
          <w:sz w:val="28"/>
          <w:szCs w:val="28"/>
          <w:lang w:val="uk-UA"/>
        </w:rPr>
        <w:t xml:space="preserve">Для покращення функціонування системи водовідведення даною інвестиційною програмою планується заміна/ реконструкція/ ремонт  чотирьох насосних установок на каналізаційних насосних станціях за адресами:                     </w:t>
      </w:r>
    </w:p>
    <w:p w:rsidR="00F8610F" w:rsidRPr="001B2D94" w:rsidRDefault="00F8610F" w:rsidP="00A7751D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>КНС №4, м. Буча, вул. Суворова, 1-В - планова вартість робіт складає            3 000 000 грн з ПДВ;</w:t>
      </w:r>
    </w:p>
    <w:p w:rsidR="00F8610F" w:rsidRPr="001B2D94" w:rsidRDefault="00F8610F" w:rsidP="00A7751D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КНС б/н, с. Мироцьке, вул. Центральна (Радгоспна) - планова вартість робіт складає грн  500 000 з ПДВ; </w:t>
      </w:r>
    </w:p>
    <w:p w:rsidR="00F8610F" w:rsidRPr="001B2D94" w:rsidRDefault="00F8610F" w:rsidP="00A7751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FF0000"/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>КНС б/н, с. Синяк, вул. Київська 57 - планова вартість робіт складає 500 000 грн   з ПДВ;</w:t>
      </w:r>
    </w:p>
    <w:p w:rsidR="00F8610F" w:rsidRPr="001B2D94" w:rsidRDefault="00F8610F" w:rsidP="00A7751D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FF0000"/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КНС б/н, с. Гаврилівка, вул. Свято-Троїцька, 77-А - планова вартість робіт складає  300 000 грн з ПДВ.</w:t>
      </w:r>
    </w:p>
    <w:p w:rsidR="00F8610F" w:rsidRPr="001B2D94" w:rsidRDefault="00F8610F" w:rsidP="00A7751D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Заміна старого</w:t>
      </w:r>
      <w:r w:rsidRPr="001B2D94">
        <w:rPr>
          <w:sz w:val="28"/>
          <w:szCs w:val="28"/>
        </w:rPr>
        <w:t xml:space="preserve"> насосного</w:t>
      </w:r>
      <w:r w:rsidRPr="001B2D94">
        <w:rPr>
          <w:sz w:val="28"/>
          <w:szCs w:val="28"/>
          <w:lang w:val="uk-UA"/>
        </w:rPr>
        <w:t xml:space="preserve"> обладнання</w:t>
      </w:r>
      <w:r w:rsidRPr="001B2D94">
        <w:rPr>
          <w:sz w:val="28"/>
          <w:szCs w:val="28"/>
        </w:rPr>
        <w:t xml:space="preserve"> на</w:t>
      </w:r>
      <w:r w:rsidRPr="001B2D94">
        <w:rPr>
          <w:sz w:val="28"/>
          <w:szCs w:val="28"/>
          <w:lang w:val="uk-UA"/>
        </w:rPr>
        <w:t xml:space="preserve"> каналізаційних насосних станціях</w:t>
      </w:r>
      <w:r w:rsidRPr="001B2D94">
        <w:rPr>
          <w:sz w:val="28"/>
          <w:szCs w:val="28"/>
        </w:rPr>
        <w:t xml:space="preserve"> на </w:t>
      </w:r>
      <w:r w:rsidRPr="001B2D94">
        <w:rPr>
          <w:sz w:val="28"/>
          <w:szCs w:val="28"/>
          <w:lang w:val="uk-UA"/>
        </w:rPr>
        <w:t xml:space="preserve">сучасне та </w:t>
      </w:r>
      <w:r w:rsidRPr="001B2D94">
        <w:rPr>
          <w:sz w:val="28"/>
          <w:szCs w:val="28"/>
        </w:rPr>
        <w:t xml:space="preserve"> </w:t>
      </w:r>
      <w:r w:rsidRPr="001B2D94">
        <w:rPr>
          <w:sz w:val="28"/>
          <w:szCs w:val="28"/>
          <w:lang w:val="uk-UA"/>
        </w:rPr>
        <w:t>енергоефективне</w:t>
      </w:r>
      <w:r w:rsidRPr="001B2D94">
        <w:rPr>
          <w:sz w:val="28"/>
          <w:szCs w:val="28"/>
        </w:rPr>
        <w:t xml:space="preserve">, </w:t>
      </w:r>
      <w:r w:rsidRPr="001B2D94">
        <w:rPr>
          <w:sz w:val="28"/>
          <w:szCs w:val="28"/>
          <w:lang w:val="uk-UA"/>
        </w:rPr>
        <w:t>яке забезпечить надійність</w:t>
      </w:r>
      <w:r w:rsidRPr="001B2D94">
        <w:rPr>
          <w:sz w:val="28"/>
          <w:szCs w:val="28"/>
        </w:rPr>
        <w:t xml:space="preserve"> </w:t>
      </w:r>
      <w:r w:rsidRPr="001B2D94">
        <w:rPr>
          <w:sz w:val="28"/>
          <w:szCs w:val="28"/>
          <w:lang w:val="uk-UA"/>
        </w:rPr>
        <w:t>процесу перекачування стічних</w:t>
      </w:r>
      <w:r w:rsidRPr="001B2D94">
        <w:rPr>
          <w:sz w:val="28"/>
          <w:szCs w:val="28"/>
        </w:rPr>
        <w:t xml:space="preserve"> вод, а</w:t>
      </w:r>
      <w:r w:rsidRPr="001B2D94">
        <w:rPr>
          <w:sz w:val="28"/>
          <w:szCs w:val="28"/>
          <w:lang w:val="uk-UA"/>
        </w:rPr>
        <w:t xml:space="preserve"> також зекономить використання електроенергії</w:t>
      </w:r>
      <w:r w:rsidRPr="001B2D94">
        <w:rPr>
          <w:sz w:val="28"/>
          <w:szCs w:val="28"/>
        </w:rPr>
        <w:t xml:space="preserve"> в</w:t>
      </w:r>
      <w:r w:rsidRPr="001B2D94">
        <w:rPr>
          <w:sz w:val="28"/>
          <w:szCs w:val="28"/>
          <w:lang w:val="uk-UA"/>
        </w:rPr>
        <w:t xml:space="preserve"> майбутньому</w:t>
      </w:r>
      <w:r w:rsidRPr="001B2D94">
        <w:rPr>
          <w:color w:val="FF0000"/>
          <w:sz w:val="28"/>
          <w:szCs w:val="28"/>
          <w:lang w:val="uk-UA"/>
        </w:rPr>
        <w:t>.</w:t>
      </w:r>
    </w:p>
    <w:p w:rsidR="00F8610F" w:rsidRPr="001B2D94" w:rsidRDefault="00F8610F" w:rsidP="00AA3F9E">
      <w:pPr>
        <w:pStyle w:val="NormalWeb"/>
        <w:spacing w:before="0" w:beforeAutospacing="0" w:after="0" w:afterAutospacing="0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 Загальна кошторисна вартість по об’єктам водовідведення складає 4 300 000 грн з ПДВ.</w:t>
      </w:r>
    </w:p>
    <w:p w:rsidR="00F8610F" w:rsidRPr="001B2D94" w:rsidRDefault="00F8610F" w:rsidP="00AA3F9E">
      <w:pPr>
        <w:pStyle w:val="NormalWeb"/>
        <w:spacing w:before="0" w:beforeAutospacing="0" w:after="0" w:afterAutospacing="0"/>
        <w:rPr>
          <w:sz w:val="28"/>
          <w:szCs w:val="28"/>
          <w:u w:val="single"/>
          <w:lang w:val="uk-UA"/>
        </w:rPr>
      </w:pPr>
      <w:r w:rsidRPr="001B2D94">
        <w:rPr>
          <w:sz w:val="28"/>
          <w:szCs w:val="28"/>
          <w:lang w:val="uk-UA"/>
        </w:rPr>
        <w:t xml:space="preserve">             Узагальнені дані по інвестиційній складовій водовідведення: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8"/>
        <w:gridCol w:w="1800"/>
      </w:tblGrid>
      <w:tr w:rsidR="00F8610F" w:rsidRPr="001B2D94" w:rsidTr="0050713E">
        <w:tc>
          <w:tcPr>
            <w:tcW w:w="7848" w:type="dxa"/>
            <w:vAlign w:val="center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B2D94">
              <w:rPr>
                <w:b/>
                <w:sz w:val="28"/>
                <w:szCs w:val="28"/>
                <w:lang w:val="uk-UA"/>
              </w:rPr>
              <w:t>Складові  інвестиційної програми</w:t>
            </w:r>
          </w:p>
        </w:tc>
        <w:tc>
          <w:tcPr>
            <w:tcW w:w="1800" w:type="dxa"/>
            <w:vAlign w:val="center"/>
          </w:tcPr>
          <w:p w:rsidR="00F8610F" w:rsidRPr="001B2D94" w:rsidRDefault="00F8610F" w:rsidP="00456176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1B2D94">
              <w:rPr>
                <w:b/>
                <w:sz w:val="28"/>
                <w:szCs w:val="28"/>
                <w:lang w:val="uk-UA"/>
              </w:rPr>
              <w:t>Вартісні показники, грн., без ПДВ</w:t>
            </w:r>
          </w:p>
        </w:tc>
      </w:tr>
      <w:tr w:rsidR="00F8610F" w:rsidRPr="001B2D94" w:rsidTr="0050713E">
        <w:tc>
          <w:tcPr>
            <w:tcW w:w="784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Загальна кошторисна вартість по об’єктам водовідведення</w:t>
            </w:r>
          </w:p>
        </w:tc>
        <w:tc>
          <w:tcPr>
            <w:tcW w:w="180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3 583 333,33</w:t>
            </w:r>
          </w:p>
        </w:tc>
      </w:tr>
      <w:tr w:rsidR="00F8610F" w:rsidRPr="001B2D94" w:rsidTr="0050713E">
        <w:tc>
          <w:tcPr>
            <w:tcW w:w="784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i/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№4, м. Буча, вул. Суворова, 1-В</w:t>
            </w:r>
          </w:p>
        </w:tc>
        <w:tc>
          <w:tcPr>
            <w:tcW w:w="180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i/>
                <w:sz w:val="28"/>
                <w:szCs w:val="28"/>
                <w:lang w:val="uk-UA"/>
              </w:rPr>
            </w:pPr>
            <w:r w:rsidRPr="001B2D94">
              <w:rPr>
                <w:i/>
                <w:sz w:val="28"/>
                <w:szCs w:val="28"/>
                <w:lang w:val="uk-UA"/>
              </w:rPr>
              <w:t>2 500 000,00</w:t>
            </w:r>
          </w:p>
        </w:tc>
      </w:tr>
      <w:tr w:rsidR="00F8610F" w:rsidRPr="001B2D94" w:rsidTr="0050713E">
        <w:tc>
          <w:tcPr>
            <w:tcW w:w="784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б/н с. Мироцьке, вул. Радгоспна</w:t>
            </w:r>
          </w:p>
        </w:tc>
        <w:tc>
          <w:tcPr>
            <w:tcW w:w="180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416 666,67</w:t>
            </w:r>
          </w:p>
        </w:tc>
      </w:tr>
      <w:tr w:rsidR="00F8610F" w:rsidRPr="001B2D94" w:rsidTr="0050713E">
        <w:tc>
          <w:tcPr>
            <w:tcW w:w="784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б/н с. Синяк, вул. Київська 57</w:t>
            </w:r>
          </w:p>
        </w:tc>
        <w:tc>
          <w:tcPr>
            <w:tcW w:w="180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416 666,67</w:t>
            </w:r>
          </w:p>
        </w:tc>
      </w:tr>
      <w:tr w:rsidR="00F8610F" w:rsidRPr="001B2D94" w:rsidTr="0050713E">
        <w:tc>
          <w:tcPr>
            <w:tcW w:w="784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с. Гаврилівка, вул. Свято-Троїцька, 77-А</w:t>
            </w:r>
          </w:p>
        </w:tc>
        <w:tc>
          <w:tcPr>
            <w:tcW w:w="180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250 000,00</w:t>
            </w:r>
          </w:p>
        </w:tc>
      </w:tr>
    </w:tbl>
    <w:p w:rsidR="00F8610F" w:rsidRPr="001B2D94" w:rsidRDefault="00F8610F" w:rsidP="00A452CF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 </w:t>
      </w:r>
      <w:r w:rsidRPr="001B2D94">
        <w:rPr>
          <w:sz w:val="28"/>
          <w:szCs w:val="28"/>
          <w:shd w:val="clear" w:color="auto" w:fill="FFFFFF"/>
          <w:lang w:val="uk-UA"/>
        </w:rPr>
        <w:t>Кошторисні частини проектної  документації, які виготовлені  спеціалістами КП «Бучасервіс» та підрядною організацією,  додаються.</w:t>
      </w:r>
    </w:p>
    <w:p w:rsidR="00F8610F" w:rsidRPr="001B2D94" w:rsidRDefault="00F8610F" w:rsidP="00A452CF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>Узагальнену характеристику об’єктів з централізованого водовідведення наведено у додатку №6 , який додається до даної пояснювальної записки у відповідності до пп.5 п.2 р. ІІ, Порядку 191.</w:t>
      </w:r>
    </w:p>
    <w:p w:rsidR="00F8610F" w:rsidRPr="001B2D94" w:rsidRDefault="00F8610F" w:rsidP="00A452CF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F8610F" w:rsidRPr="001B2D94" w:rsidRDefault="00F8610F" w:rsidP="00E030B4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      </w:t>
      </w:r>
    </w:p>
    <w:p w:rsidR="00F8610F" w:rsidRPr="001B2D94" w:rsidRDefault="00F8610F" w:rsidP="003C5C0B">
      <w:pPr>
        <w:jc w:val="center"/>
        <w:rPr>
          <w:sz w:val="28"/>
          <w:szCs w:val="28"/>
          <w:shd w:val="clear" w:color="auto" w:fill="FFFFFF"/>
          <w:lang w:val="uk-UA"/>
        </w:rPr>
      </w:pPr>
      <w:r w:rsidRPr="001B2D94">
        <w:rPr>
          <w:b/>
          <w:sz w:val="28"/>
          <w:szCs w:val="28"/>
          <w:shd w:val="clear" w:color="auto" w:fill="FFFFFF"/>
          <w:lang w:val="uk-UA"/>
        </w:rPr>
        <w:t xml:space="preserve">        Планується поетапне впровадження даної інвестиційної програми</w:t>
      </w:r>
      <w:r w:rsidRPr="001B2D94">
        <w:rPr>
          <w:sz w:val="28"/>
          <w:szCs w:val="28"/>
          <w:shd w:val="clear" w:color="auto" w:fill="FFFFFF"/>
          <w:lang w:val="uk-UA"/>
        </w:rPr>
        <w:t xml:space="preserve">: </w:t>
      </w:r>
    </w:p>
    <w:p w:rsidR="00F8610F" w:rsidRPr="001B2D94" w:rsidRDefault="00F8610F" w:rsidP="00C364FE">
      <w:pPr>
        <w:jc w:val="center"/>
        <w:rPr>
          <w:sz w:val="28"/>
          <w:szCs w:val="28"/>
          <w:shd w:val="clear" w:color="auto" w:fill="FFFFFF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4860"/>
        <w:gridCol w:w="1980"/>
      </w:tblGrid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Планові етапи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Перелік заходів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Вартісні показники,         грн з ПДВ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Об’єкти  водопостачання,  у т.ч.: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4 660 785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1кв.2023р-1кв.2027р.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Станція знезалізненя м. Буча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3 824 800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смт. Бабинці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155 858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водогону в с. Ворзель, вул. Ватутіна від буд. 54 до буд.42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107 776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водогону в с. Ворзель,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170 860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водогону в с. Ворзель,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233 491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Блиставиця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70 000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u w:val="single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Луб’янка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49 000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2кв.-4кв. 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Ремонт труб, насосу, тросу та електрошафи с. Здвижівка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49 000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Об’єкти  водовідведення, у т.ч.: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b/>
                <w:i/>
                <w:sz w:val="28"/>
                <w:szCs w:val="28"/>
                <w:lang w:val="uk-UA"/>
              </w:rPr>
              <w:t>4 300 000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4кв.2023р.-1кв.2027р.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№4, м. Буча, вул. Суворова, 1-В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i/>
                <w:sz w:val="28"/>
                <w:szCs w:val="28"/>
                <w:lang w:val="uk-UA"/>
              </w:rPr>
            </w:pPr>
            <w:r w:rsidRPr="001B2D94">
              <w:rPr>
                <w:i/>
                <w:sz w:val="28"/>
                <w:szCs w:val="28"/>
                <w:lang w:val="uk-UA"/>
              </w:rPr>
              <w:t>3 000 000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2кв.-3кв.2023р.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б/н с. Мироцьке, вул. Радгоспна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500 000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4кв.2022р.-1кв.2023р.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б/н с. Синяк, вул. Київська 57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500 000</w:t>
            </w:r>
          </w:p>
        </w:tc>
      </w:tr>
      <w:tr w:rsidR="00F8610F" w:rsidRPr="001B2D94" w:rsidTr="00E34D4D">
        <w:tc>
          <w:tcPr>
            <w:tcW w:w="2808" w:type="dxa"/>
          </w:tcPr>
          <w:p w:rsidR="00F8610F" w:rsidRPr="001B2D94" w:rsidRDefault="00F8610F" w:rsidP="00E34D4D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sz w:val="28"/>
                <w:szCs w:val="28"/>
                <w:shd w:val="clear" w:color="auto" w:fill="FFFFFF"/>
                <w:lang w:val="uk-UA"/>
              </w:rPr>
              <w:t>2кв.-3кв.2022р.</w:t>
            </w:r>
          </w:p>
        </w:tc>
        <w:tc>
          <w:tcPr>
            <w:tcW w:w="486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Реконструкція КНС с. Гаврилівка, вул. Свято-Троїцька, 77-А</w:t>
            </w:r>
          </w:p>
        </w:tc>
        <w:tc>
          <w:tcPr>
            <w:tcW w:w="1980" w:type="dxa"/>
          </w:tcPr>
          <w:p w:rsidR="00F8610F" w:rsidRPr="001B2D94" w:rsidRDefault="00F8610F" w:rsidP="00E34D4D">
            <w:pPr>
              <w:pStyle w:val="NormalWeb"/>
              <w:spacing w:before="0" w:beforeAutospacing="0" w:after="0" w:afterAutospacing="0"/>
              <w:jc w:val="right"/>
              <w:rPr>
                <w:i/>
                <w:sz w:val="28"/>
                <w:szCs w:val="28"/>
                <w:lang w:val="uk-UA"/>
              </w:rPr>
            </w:pPr>
            <w:r w:rsidRPr="001B2D94">
              <w:rPr>
                <w:i/>
                <w:sz w:val="28"/>
                <w:szCs w:val="28"/>
                <w:lang w:val="uk-UA"/>
              </w:rPr>
              <w:t> 300 000</w:t>
            </w:r>
          </w:p>
        </w:tc>
      </w:tr>
    </w:tbl>
    <w:p w:rsidR="00F8610F" w:rsidRPr="001B2D94" w:rsidRDefault="00F8610F" w:rsidP="00C364FE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8610F" w:rsidRPr="001B2D94" w:rsidRDefault="00F8610F" w:rsidP="00B828EB">
      <w:pPr>
        <w:pStyle w:val="NormalWeb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 xml:space="preserve">                 </w:t>
      </w:r>
    </w:p>
    <w:p w:rsidR="00F8610F" w:rsidRPr="001B2D94" w:rsidRDefault="00F8610F" w:rsidP="00B828EB">
      <w:pPr>
        <w:pStyle w:val="NormalWeb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B2D94">
        <w:rPr>
          <w:sz w:val="28"/>
          <w:szCs w:val="28"/>
          <w:shd w:val="clear" w:color="auto" w:fill="FFFFFF"/>
          <w:lang w:val="uk-UA"/>
        </w:rPr>
        <w:t xml:space="preserve">                </w:t>
      </w:r>
      <w:r w:rsidRPr="001B2D94">
        <w:rPr>
          <w:b/>
          <w:sz w:val="28"/>
          <w:szCs w:val="28"/>
          <w:lang w:val="uk-UA"/>
        </w:rPr>
        <w:t>Порядок фінансування даної інвестиційної програми: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8"/>
        <w:gridCol w:w="2520"/>
        <w:gridCol w:w="2700"/>
      </w:tblGrid>
      <w:tr w:rsidR="00F8610F" w:rsidRPr="001B2D94" w:rsidTr="003C5C0B">
        <w:tc>
          <w:tcPr>
            <w:tcW w:w="4428" w:type="dxa"/>
            <w:vAlign w:val="center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Складові  інвестиційної програми</w:t>
            </w:r>
          </w:p>
        </w:tc>
        <w:tc>
          <w:tcPr>
            <w:tcW w:w="2520" w:type="dxa"/>
            <w:vAlign w:val="center"/>
          </w:tcPr>
          <w:p w:rsidR="00F8610F" w:rsidRPr="001B2D94" w:rsidRDefault="00F8610F" w:rsidP="008D2720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Вартісні показники, грн., з ПДВ</w:t>
            </w:r>
          </w:p>
        </w:tc>
        <w:tc>
          <w:tcPr>
            <w:tcW w:w="2700" w:type="dxa"/>
            <w:vAlign w:val="center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8610F" w:rsidRPr="001B2D94" w:rsidTr="003C5C0B">
        <w:tc>
          <w:tcPr>
            <w:tcW w:w="4428" w:type="dxa"/>
          </w:tcPr>
          <w:p w:rsidR="00F8610F" w:rsidRPr="001B2D94" w:rsidRDefault="00F8610F" w:rsidP="00F748DA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Загальна кошторисна вартість по усім об΄єктам</w:t>
            </w:r>
          </w:p>
        </w:tc>
        <w:tc>
          <w:tcPr>
            <w:tcW w:w="2520" w:type="dxa"/>
          </w:tcPr>
          <w:p w:rsidR="00F8610F" w:rsidRPr="001B2D94" w:rsidRDefault="00F8610F" w:rsidP="00F748DA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8 960 785</w:t>
            </w:r>
          </w:p>
        </w:tc>
        <w:tc>
          <w:tcPr>
            <w:tcW w:w="2700" w:type="dxa"/>
          </w:tcPr>
          <w:p w:rsidR="00F8610F" w:rsidRPr="001B2D94" w:rsidRDefault="00F8610F" w:rsidP="00F748DA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Власні обігові кошти</w:t>
            </w:r>
          </w:p>
        </w:tc>
      </w:tr>
    </w:tbl>
    <w:p w:rsidR="00F8610F" w:rsidRPr="001B2D94" w:rsidRDefault="00F8610F" w:rsidP="00B828EB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2D94">
        <w:rPr>
          <w:b/>
          <w:sz w:val="28"/>
          <w:szCs w:val="28"/>
          <w:lang w:val="uk-UA"/>
        </w:rPr>
        <w:t xml:space="preserve">              </w:t>
      </w:r>
      <w:r w:rsidRPr="001B2D94">
        <w:rPr>
          <w:sz w:val="28"/>
          <w:szCs w:val="28"/>
          <w:lang w:val="uk-UA"/>
        </w:rPr>
        <w:t xml:space="preserve">З метою дострокового впровадження даної інвестиційної програми КП «Бучасервіс» планує  звертатися з клопотанням про фінансування даної інвестиційної програми або окремих її складових до бюджетних установ різного рівня (місцевих, обласних), а також  інвестиційних фондів, приймати участь у грантових програмах. </w:t>
      </w:r>
    </w:p>
    <w:p w:rsidR="00F8610F" w:rsidRPr="001B2D94" w:rsidRDefault="00F8610F" w:rsidP="00C364FE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8610F" w:rsidRPr="001B2D94" w:rsidRDefault="00F8610F" w:rsidP="00925F91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B2D94">
        <w:rPr>
          <w:b/>
          <w:sz w:val="28"/>
          <w:szCs w:val="28"/>
          <w:shd w:val="clear" w:color="auto" w:fill="FFFFFF"/>
          <w:lang w:val="uk-UA"/>
        </w:rPr>
        <w:t>Розрахунок оцінки економічної ефективності інвестиційної програми.</w:t>
      </w:r>
    </w:p>
    <w:p w:rsidR="00F8610F" w:rsidRPr="001B2D94" w:rsidRDefault="00F8610F" w:rsidP="00C364FE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F8610F" w:rsidRPr="001B2D94" w:rsidRDefault="00F8610F" w:rsidP="00C364FE">
      <w:pPr>
        <w:jc w:val="both"/>
        <w:rPr>
          <w:sz w:val="28"/>
          <w:szCs w:val="28"/>
          <w:lang w:val="uk-UA"/>
        </w:rPr>
      </w:pPr>
      <w:r w:rsidRPr="001B2D94">
        <w:rPr>
          <w:sz w:val="28"/>
          <w:szCs w:val="28"/>
          <w:lang w:val="uk-UA"/>
        </w:rPr>
        <w:t xml:space="preserve">      Плановий річний  економічний ефект  та складові розрахунку економічного ефекту від впровадження заходів даної інвестиційної програми складає: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2520"/>
      </w:tblGrid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Показник</w:t>
            </w:r>
          </w:p>
        </w:tc>
        <w:tc>
          <w:tcPr>
            <w:tcW w:w="2520" w:type="dxa"/>
          </w:tcPr>
          <w:p w:rsidR="00F8610F" w:rsidRPr="001B2D94" w:rsidRDefault="00F8610F" w:rsidP="00D44E4E">
            <w:pPr>
              <w:pStyle w:val="Heading3"/>
              <w:spacing w:before="0" w:beforeAutospacing="0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Сума річної економії,              грн без ПДВ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 xml:space="preserve">  Основна та  додаткова зарплата з ЄСВ майстра служби водозабірних споруд та підвищувальних насосних станцій       ( зменшення витрат на 59%)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198 100,00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Економія фонду зарплати з ЄСВ  аварійно-ремонтної бригади  по обслуговуванню процесів централізованого водопостачання та централізованого водовідведення                    ( майстер, електрогазозварники 5розряду та 4 розряду)            ( зменшення витрат на 50%)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643 515,84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ПММ аварійно-ремонтної бригади  по обслуговуванню процесів централізованого водопостачання та централізованого водовідведення (зменшення витрат на 50% у зв`язку зі зменшенням кількості виїздів аварійної машини та екскаватора на ліквідацію аварійних заходів у зв`язку з ремонтом  аварійних ділянок )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203 571,00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 xml:space="preserve">Витратні матеріали по ТО систем водопостачання та водовідведення 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79 986,00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Основна та  додаткова зарплата водія та машиніста екскаватора з ЄСВ ( зменшення витрат на 40%)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157 084,00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Всього основні планові складові :</w:t>
            </w:r>
          </w:p>
        </w:tc>
        <w:tc>
          <w:tcPr>
            <w:tcW w:w="2520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jc w:val="right"/>
              <w:rPr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1 282 256,84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0A22E3">
            <w:pPr>
              <w:pStyle w:val="Heading3"/>
              <w:spacing w:before="0" w:beforeAutospacing="0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Інші  загальновиробничі та адміністративних  витрати ,  планово 42,89% від  основних складових :</w:t>
            </w:r>
          </w:p>
        </w:tc>
        <w:tc>
          <w:tcPr>
            <w:tcW w:w="2520" w:type="dxa"/>
          </w:tcPr>
          <w:p w:rsidR="00F8610F" w:rsidRPr="001B2D94" w:rsidRDefault="00F8610F" w:rsidP="005E35EA">
            <w:pPr>
              <w:pStyle w:val="Heading3"/>
              <w:spacing w:before="0" w:beforeAutospacing="0"/>
              <w:jc w:val="right"/>
              <w:rPr>
                <w:b w:val="0"/>
                <w:sz w:val="28"/>
                <w:szCs w:val="28"/>
                <w:lang w:val="uk-UA"/>
              </w:rPr>
            </w:pPr>
            <w:r w:rsidRPr="001B2D94">
              <w:rPr>
                <w:b w:val="0"/>
                <w:sz w:val="28"/>
                <w:szCs w:val="28"/>
                <w:lang w:val="uk-UA"/>
              </w:rPr>
              <w:t>550 000,00</w:t>
            </w:r>
          </w:p>
        </w:tc>
      </w:tr>
      <w:tr w:rsidR="00F8610F" w:rsidRPr="001B2D94" w:rsidTr="0050713E">
        <w:tc>
          <w:tcPr>
            <w:tcW w:w="7128" w:type="dxa"/>
          </w:tcPr>
          <w:p w:rsidR="00F8610F" w:rsidRPr="001B2D94" w:rsidRDefault="00F8610F" w:rsidP="0050713E">
            <w:pPr>
              <w:pStyle w:val="Heading3"/>
              <w:spacing w:before="0" w:beforeAutospacing="0"/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Всього плановий  річний економічний ефект, тис. грн. без ПДВ:</w:t>
            </w:r>
          </w:p>
        </w:tc>
        <w:tc>
          <w:tcPr>
            <w:tcW w:w="2520" w:type="dxa"/>
          </w:tcPr>
          <w:p w:rsidR="00F8610F" w:rsidRPr="001B2D94" w:rsidRDefault="00F8610F" w:rsidP="005E35EA">
            <w:pPr>
              <w:pStyle w:val="Heading3"/>
              <w:spacing w:before="0" w:beforeAutospacing="0"/>
              <w:jc w:val="right"/>
              <w:rPr>
                <w:sz w:val="28"/>
                <w:szCs w:val="28"/>
                <w:highlight w:val="yellow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1 832 256,84</w:t>
            </w:r>
          </w:p>
        </w:tc>
      </w:tr>
    </w:tbl>
    <w:p w:rsidR="00F8610F" w:rsidRDefault="00F8610F" w:rsidP="009028BC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F8610F" w:rsidRDefault="00F8610F" w:rsidP="009028BC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F8610F" w:rsidRDefault="00F8610F" w:rsidP="009028BC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F8610F" w:rsidRPr="00A76AFA" w:rsidRDefault="00F8610F" w:rsidP="009028BC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A76AFA">
        <w:rPr>
          <w:b/>
          <w:bCs/>
          <w:sz w:val="28"/>
          <w:szCs w:val="28"/>
          <w:lang w:val="uk-UA"/>
        </w:rPr>
        <w:t>Розподіл  планового річного економічного ефекту між складовими інвестиційної програми:</w:t>
      </w:r>
    </w:p>
    <w:p w:rsidR="00F8610F" w:rsidRPr="001B2D94" w:rsidRDefault="00F8610F" w:rsidP="009028BC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2340"/>
        <w:gridCol w:w="2340"/>
      </w:tblGrid>
      <w:tr w:rsidR="00F8610F" w:rsidRPr="001B2D94" w:rsidTr="005C0B4A">
        <w:tc>
          <w:tcPr>
            <w:tcW w:w="4968" w:type="dxa"/>
          </w:tcPr>
          <w:p w:rsidR="00F8610F" w:rsidRPr="00A76AFA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76AF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Складові інвестиційної програми</w:t>
            </w:r>
          </w:p>
        </w:tc>
        <w:tc>
          <w:tcPr>
            <w:tcW w:w="2340" w:type="dxa"/>
          </w:tcPr>
          <w:p w:rsidR="00F8610F" w:rsidRPr="00A76AFA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76AF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Сума інвестиційної програми, грн                      без ПДВ</w:t>
            </w:r>
          </w:p>
        </w:tc>
        <w:tc>
          <w:tcPr>
            <w:tcW w:w="2340" w:type="dxa"/>
          </w:tcPr>
          <w:p w:rsidR="00F8610F" w:rsidRPr="00A76AFA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A76AF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 xml:space="preserve">Сума </w:t>
            </w:r>
            <w:r w:rsidRPr="00A76AFA">
              <w:rPr>
                <w:b/>
                <w:bCs/>
                <w:sz w:val="28"/>
                <w:szCs w:val="28"/>
                <w:lang w:val="uk-UA"/>
              </w:rPr>
              <w:t>річного економічного ефекту</w:t>
            </w:r>
            <w:r w:rsidRPr="00A76AFA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, грн                      без ПДВ</w:t>
            </w:r>
          </w:p>
        </w:tc>
      </w:tr>
      <w:tr w:rsidR="00F8610F" w:rsidRPr="001B2D94" w:rsidTr="005C0B4A">
        <w:tc>
          <w:tcPr>
            <w:tcW w:w="496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Інвестиційна програма по  складовій з централізованого водопостачання</w:t>
            </w:r>
          </w:p>
        </w:tc>
        <w:tc>
          <w:tcPr>
            <w:tcW w:w="234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3 883 987,50</w:t>
            </w:r>
          </w:p>
        </w:tc>
        <w:tc>
          <w:tcPr>
            <w:tcW w:w="234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953 013,70</w:t>
            </w:r>
          </w:p>
        </w:tc>
      </w:tr>
      <w:tr w:rsidR="00F8610F" w:rsidRPr="001B2D94" w:rsidTr="005C0B4A">
        <w:tc>
          <w:tcPr>
            <w:tcW w:w="4968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Інвестиційна програма по складовій  централізованого водовідведення</w:t>
            </w:r>
          </w:p>
        </w:tc>
        <w:tc>
          <w:tcPr>
            <w:tcW w:w="234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Cs/>
                <w:sz w:val="28"/>
                <w:szCs w:val="28"/>
                <w:shd w:val="clear" w:color="auto" w:fill="FFFFFF"/>
                <w:lang w:val="uk-UA"/>
              </w:rPr>
              <w:t>3 583 333,33</w:t>
            </w:r>
          </w:p>
        </w:tc>
        <w:tc>
          <w:tcPr>
            <w:tcW w:w="2340" w:type="dxa"/>
          </w:tcPr>
          <w:p w:rsidR="00F8610F" w:rsidRPr="001B2D94" w:rsidRDefault="00F8610F" w:rsidP="0050713E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1B2D94">
              <w:rPr>
                <w:b/>
                <w:bCs/>
                <w:sz w:val="28"/>
                <w:szCs w:val="28"/>
                <w:shd w:val="clear" w:color="auto" w:fill="FFFFFF"/>
                <w:lang w:val="uk-UA"/>
              </w:rPr>
              <w:t>879 243,14</w:t>
            </w:r>
          </w:p>
        </w:tc>
      </w:tr>
    </w:tbl>
    <w:p w:rsidR="00F8610F" w:rsidRPr="001B2D94" w:rsidRDefault="00F8610F" w:rsidP="00F46A27">
      <w:pPr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1B2D94">
        <w:rPr>
          <w:sz w:val="28"/>
          <w:szCs w:val="28"/>
          <w:lang w:val="uk-UA"/>
        </w:rPr>
        <w:t xml:space="preserve">         Оцінку  прогнозованих показників  ефективності  інвестиційної програми виконано  на підставі «</w:t>
      </w:r>
      <w:r w:rsidRPr="001B2D94">
        <w:rPr>
          <w:bCs/>
          <w:sz w:val="28"/>
          <w:szCs w:val="28"/>
          <w:shd w:val="clear" w:color="auto" w:fill="FFFFFF"/>
          <w:lang w:val="uk-UA"/>
        </w:rPr>
        <w:t>Роз'яснення НКРЕКП щодо розрахунків прогнозованих показників ефективності інвестиційних програм суб'єктів господарювання у сфері теплопостачання, централізованого водопостачання та водовідведення». Усі розрахунки  виконуються без урахування ПДВ.</w:t>
      </w:r>
    </w:p>
    <w:p w:rsidR="00F8610F" w:rsidRPr="001B2D94" w:rsidRDefault="00F8610F" w:rsidP="000A22E3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lang w:val="uk-UA"/>
        </w:rPr>
        <w:t xml:space="preserve">        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Розрахунок ч</w:t>
      </w:r>
      <w:r w:rsidRPr="001B2D94">
        <w:rPr>
          <w:b/>
          <w:bCs/>
          <w:sz w:val="28"/>
          <w:szCs w:val="28"/>
          <w:shd w:val="clear" w:color="auto" w:fill="FFFFFF"/>
        </w:rPr>
        <w:t>ист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>ої</w:t>
      </w:r>
      <w:r w:rsidRPr="001B2D94">
        <w:rPr>
          <w:b/>
          <w:bCs/>
          <w:sz w:val="28"/>
          <w:szCs w:val="28"/>
          <w:shd w:val="clear" w:color="auto" w:fill="FFFFFF"/>
        </w:rPr>
        <w:t xml:space="preserve"> приведен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>ої</w:t>
      </w:r>
      <w:r w:rsidRPr="001B2D94">
        <w:rPr>
          <w:b/>
          <w:bCs/>
          <w:sz w:val="28"/>
          <w:szCs w:val="28"/>
          <w:shd w:val="clear" w:color="auto" w:fill="FFFFFF"/>
        </w:rPr>
        <w:t xml:space="preserve"> варт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>о</w:t>
      </w:r>
      <w:r w:rsidRPr="001B2D94">
        <w:rPr>
          <w:b/>
          <w:bCs/>
          <w:sz w:val="28"/>
          <w:szCs w:val="28"/>
          <w:shd w:val="clear" w:color="auto" w:fill="FFFFFF"/>
        </w:rPr>
        <w:t>ст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>і по складовим формули:</w:t>
      </w: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20" w:afterAutospacing="0"/>
        <w:ind w:firstLine="448"/>
        <w:jc w:val="both"/>
        <w:rPr>
          <w:sz w:val="28"/>
          <w:szCs w:val="28"/>
        </w:rPr>
      </w:pPr>
      <w:r w:rsidRPr="001B2D94">
        <w:rPr>
          <w:sz w:val="28"/>
          <w:szCs w:val="28"/>
        </w:rPr>
        <w:t>• Інвестиційні</w:t>
      </w:r>
      <w:r w:rsidRPr="001B2D94">
        <w:rPr>
          <w:sz w:val="28"/>
          <w:szCs w:val="28"/>
          <w:lang w:val="uk-UA"/>
        </w:rPr>
        <w:t xml:space="preserve"> витрати</w:t>
      </w:r>
      <w:r w:rsidRPr="001B2D94">
        <w:rPr>
          <w:sz w:val="28"/>
          <w:szCs w:val="28"/>
        </w:rPr>
        <w:t xml:space="preserve"> (загальна сума інвестицій) – </w:t>
      </w:r>
      <w:r w:rsidRPr="001B2D94">
        <w:rPr>
          <w:sz w:val="28"/>
          <w:szCs w:val="28"/>
          <w:lang w:val="uk-UA"/>
        </w:rPr>
        <w:t>7 467 320,83</w:t>
      </w:r>
      <w:r w:rsidRPr="001B2D94">
        <w:rPr>
          <w:sz w:val="28"/>
          <w:szCs w:val="28"/>
        </w:rPr>
        <w:t xml:space="preserve"> грн.</w:t>
      </w: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20" w:afterAutospacing="0"/>
        <w:ind w:firstLine="448"/>
        <w:jc w:val="both"/>
        <w:rPr>
          <w:sz w:val="28"/>
          <w:szCs w:val="28"/>
        </w:rPr>
      </w:pPr>
      <w:bookmarkStart w:id="2" w:name="n28"/>
      <w:bookmarkEnd w:id="2"/>
      <w:r w:rsidRPr="001B2D94">
        <w:rPr>
          <w:sz w:val="28"/>
          <w:szCs w:val="28"/>
        </w:rPr>
        <w:t>• Річний економічний</w:t>
      </w:r>
      <w:r w:rsidRPr="001B2D94">
        <w:rPr>
          <w:sz w:val="28"/>
          <w:szCs w:val="28"/>
          <w:lang w:val="uk-UA"/>
        </w:rPr>
        <w:t xml:space="preserve"> ефект від впровадження інвестиційних заходів</w:t>
      </w:r>
      <w:r w:rsidRPr="001B2D94">
        <w:rPr>
          <w:sz w:val="28"/>
          <w:szCs w:val="28"/>
        </w:rPr>
        <w:t xml:space="preserve"> – </w:t>
      </w:r>
      <w:r w:rsidRPr="001B2D94">
        <w:rPr>
          <w:sz w:val="28"/>
          <w:szCs w:val="28"/>
          <w:lang w:val="uk-UA"/>
        </w:rPr>
        <w:t>1 832 256,84 грн</w:t>
      </w:r>
      <w:r w:rsidRPr="001B2D94">
        <w:rPr>
          <w:sz w:val="28"/>
          <w:szCs w:val="28"/>
        </w:rPr>
        <w:t>.</w:t>
      </w: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20" w:afterAutospacing="0"/>
        <w:ind w:firstLine="448"/>
        <w:jc w:val="both"/>
        <w:rPr>
          <w:sz w:val="28"/>
          <w:szCs w:val="28"/>
        </w:rPr>
      </w:pPr>
      <w:bookmarkStart w:id="3" w:name="n29"/>
      <w:bookmarkEnd w:id="3"/>
      <w:r w:rsidRPr="001B2D94">
        <w:rPr>
          <w:sz w:val="28"/>
          <w:szCs w:val="28"/>
        </w:rPr>
        <w:t>•</w:t>
      </w:r>
      <w:r w:rsidRPr="001B2D94">
        <w:rPr>
          <w:sz w:val="28"/>
          <w:szCs w:val="28"/>
          <w:lang w:val="uk-UA"/>
        </w:rPr>
        <w:t xml:space="preserve"> </w:t>
      </w:r>
      <w:r w:rsidRPr="001B2D94">
        <w:rPr>
          <w:sz w:val="28"/>
          <w:szCs w:val="28"/>
        </w:rPr>
        <w:t>Ставка</w:t>
      </w:r>
      <w:r w:rsidRPr="001B2D94">
        <w:rPr>
          <w:sz w:val="28"/>
          <w:szCs w:val="28"/>
          <w:lang w:val="uk-UA"/>
        </w:rPr>
        <w:t xml:space="preserve"> дисконтування (облікова ставка НБУ на дату формування даної інвестиційної програми)</w:t>
      </w:r>
      <w:r w:rsidRPr="001B2D94">
        <w:rPr>
          <w:sz w:val="28"/>
          <w:szCs w:val="28"/>
        </w:rPr>
        <w:t xml:space="preserve"> - </w:t>
      </w:r>
      <w:r w:rsidRPr="001B2D94">
        <w:rPr>
          <w:sz w:val="28"/>
          <w:szCs w:val="28"/>
          <w:lang w:val="uk-UA"/>
        </w:rPr>
        <w:t>10</w:t>
      </w:r>
      <w:r w:rsidRPr="001B2D94">
        <w:rPr>
          <w:sz w:val="28"/>
          <w:szCs w:val="28"/>
        </w:rPr>
        <w:t xml:space="preserve"> %</w:t>
      </w: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20" w:afterAutospacing="0"/>
        <w:ind w:firstLine="448"/>
        <w:jc w:val="both"/>
        <w:rPr>
          <w:sz w:val="28"/>
          <w:szCs w:val="28"/>
          <w:lang w:val="uk-UA"/>
        </w:rPr>
      </w:pPr>
      <w:bookmarkStart w:id="4" w:name="n30"/>
      <w:bookmarkEnd w:id="4"/>
      <w:r w:rsidRPr="001B2D94">
        <w:rPr>
          <w:sz w:val="28"/>
          <w:szCs w:val="28"/>
        </w:rPr>
        <w:t>•</w:t>
      </w:r>
      <w:r w:rsidRPr="001B2D94">
        <w:rPr>
          <w:sz w:val="28"/>
          <w:szCs w:val="28"/>
          <w:lang w:val="uk-UA"/>
        </w:rPr>
        <w:t xml:space="preserve"> Нормативний період</w:t>
      </w:r>
      <w:r w:rsidRPr="001B2D94">
        <w:rPr>
          <w:sz w:val="28"/>
          <w:szCs w:val="28"/>
        </w:rPr>
        <w:t xml:space="preserve"> </w:t>
      </w:r>
      <w:r w:rsidRPr="001B2D94">
        <w:rPr>
          <w:sz w:val="28"/>
          <w:szCs w:val="28"/>
          <w:lang w:val="uk-UA"/>
        </w:rPr>
        <w:t>впровадження інвестиційного</w:t>
      </w:r>
      <w:r w:rsidRPr="001B2D94">
        <w:rPr>
          <w:sz w:val="28"/>
          <w:szCs w:val="28"/>
        </w:rPr>
        <w:t xml:space="preserve"> про</w:t>
      </w:r>
      <w:r w:rsidRPr="001B2D94">
        <w:rPr>
          <w:sz w:val="28"/>
          <w:szCs w:val="28"/>
          <w:lang w:val="uk-UA"/>
        </w:rPr>
        <w:t>є</w:t>
      </w:r>
      <w:r w:rsidRPr="001B2D94">
        <w:rPr>
          <w:sz w:val="28"/>
          <w:szCs w:val="28"/>
        </w:rPr>
        <w:t xml:space="preserve">кту - </w:t>
      </w:r>
      <w:r w:rsidRPr="001B2D94">
        <w:rPr>
          <w:sz w:val="28"/>
          <w:szCs w:val="28"/>
          <w:lang w:val="uk-UA"/>
        </w:rPr>
        <w:t>5 років         ( з 2022р. по 2027р.)</w:t>
      </w:r>
    </w:p>
    <w:tbl>
      <w:tblPr>
        <w:tblW w:w="9195" w:type="dxa"/>
        <w:tblInd w:w="93" w:type="dxa"/>
        <w:tblLook w:val="0000"/>
      </w:tblPr>
      <w:tblGrid>
        <w:gridCol w:w="5"/>
        <w:gridCol w:w="3255"/>
        <w:gridCol w:w="3060"/>
        <w:gridCol w:w="2880"/>
      </w:tblGrid>
      <w:tr w:rsidR="00F8610F" w:rsidRPr="001B2D94" w:rsidTr="003D5843">
        <w:trPr>
          <w:gridAfter w:val="1"/>
          <w:wAfter w:w="2880" w:type="dxa"/>
          <w:trHeight w:val="645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інвестиції з урахуванням дисконтування зі знаком "-"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8610F" w:rsidRPr="001B2D94" w:rsidRDefault="00F8610F" w:rsidP="005E35EA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-6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788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473,482</w:t>
            </w:r>
          </w:p>
          <w:p w:rsidR="00F8610F" w:rsidRPr="001B2D94" w:rsidRDefault="00F8610F" w:rsidP="005071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610F" w:rsidRPr="001B2D94" w:rsidTr="008D2720">
        <w:trPr>
          <w:gridBefore w:val="1"/>
          <w:trHeight w:val="645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 xml:space="preserve"> плановий нормативний період </w:t>
            </w:r>
            <w:r w:rsidRPr="001B2D94">
              <w:rPr>
                <w:sz w:val="28"/>
                <w:szCs w:val="28"/>
                <w:lang w:val="uk-UA"/>
              </w:rPr>
              <w:t xml:space="preserve">інвестиційного </w:t>
            </w:r>
            <w:r w:rsidRPr="001B2D94">
              <w:rPr>
                <w:sz w:val="28"/>
                <w:szCs w:val="28"/>
              </w:rPr>
              <w:t>про</w:t>
            </w:r>
            <w:r w:rsidRPr="001B2D94">
              <w:rPr>
                <w:sz w:val="28"/>
                <w:szCs w:val="28"/>
                <w:lang w:val="uk-UA"/>
              </w:rPr>
              <w:t>є</w:t>
            </w:r>
            <w:r w:rsidRPr="001B2D94">
              <w:rPr>
                <w:sz w:val="28"/>
                <w:szCs w:val="28"/>
              </w:rPr>
              <w:t>кту</w:t>
            </w:r>
            <w:r w:rsidRPr="001B2D94">
              <w:rPr>
                <w:sz w:val="28"/>
                <w:szCs w:val="28"/>
                <w:lang w:val="uk-UA"/>
              </w:rPr>
              <w:t>-</w:t>
            </w:r>
            <w:r w:rsidRPr="001B2D94">
              <w:rPr>
                <w:sz w:val="28"/>
                <w:szCs w:val="28"/>
              </w:rPr>
              <w:t xml:space="preserve"> </w:t>
            </w:r>
            <w:r w:rsidRPr="001B2D94">
              <w:rPr>
                <w:sz w:val="28"/>
                <w:szCs w:val="28"/>
                <w:lang w:val="uk-UA"/>
              </w:rPr>
              <w:t>5</w:t>
            </w:r>
            <w:r w:rsidRPr="001B2D94">
              <w:rPr>
                <w:sz w:val="28"/>
                <w:szCs w:val="28"/>
              </w:rPr>
              <w:t xml:space="preserve"> років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сума планового річного економічного ефекту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розрахунок чисної приведеної вартості</w:t>
            </w:r>
          </w:p>
        </w:tc>
      </w:tr>
      <w:tr w:rsidR="00F8610F" w:rsidRPr="001B2D94" w:rsidTr="008D2720">
        <w:trPr>
          <w:gridBefore w:val="1"/>
          <w:trHeight w:val="255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2022р.-2023р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832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256,84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665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688,036</w:t>
            </w:r>
          </w:p>
        </w:tc>
      </w:tr>
      <w:tr w:rsidR="00F8610F" w:rsidRPr="001B2D94" w:rsidTr="003D5843">
        <w:trPr>
          <w:gridBefore w:val="1"/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2023р.-2024р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832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256,84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> </w:t>
            </w:r>
            <w:r w:rsidRPr="001B2D94">
              <w:rPr>
                <w:sz w:val="28"/>
                <w:szCs w:val="28"/>
              </w:rPr>
              <w:t>514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261,851</w:t>
            </w:r>
          </w:p>
        </w:tc>
      </w:tr>
      <w:tr w:rsidR="00F8610F" w:rsidRPr="001B2D94" w:rsidTr="003D5843">
        <w:trPr>
          <w:gridBefore w:val="1"/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2024р.-2025р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> </w:t>
            </w:r>
            <w:r w:rsidRPr="001B2D94">
              <w:rPr>
                <w:sz w:val="28"/>
                <w:szCs w:val="28"/>
              </w:rPr>
              <w:t>83</w:t>
            </w:r>
            <w:r w:rsidRPr="001B2D94">
              <w:rPr>
                <w:sz w:val="28"/>
                <w:szCs w:val="28"/>
                <w:lang w:val="uk-UA"/>
              </w:rPr>
              <w:t xml:space="preserve">2 </w:t>
            </w:r>
            <w:r w:rsidRPr="001B2D94">
              <w:rPr>
                <w:sz w:val="28"/>
                <w:szCs w:val="28"/>
              </w:rPr>
              <w:t>256,84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376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601,683</w:t>
            </w:r>
          </w:p>
        </w:tc>
      </w:tr>
      <w:tr w:rsidR="00F8610F" w:rsidRPr="001B2D94" w:rsidTr="003D5843">
        <w:trPr>
          <w:gridBefore w:val="1"/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2025р.-2026р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832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256,84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456,075</w:t>
            </w:r>
          </w:p>
        </w:tc>
      </w:tr>
      <w:tr w:rsidR="00F8610F" w:rsidRPr="001B2D94" w:rsidTr="003D5843">
        <w:trPr>
          <w:gridBefore w:val="1"/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2026р.-2027р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832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256,84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137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687,341</w:t>
            </w:r>
          </w:p>
        </w:tc>
      </w:tr>
      <w:tr w:rsidR="00F8610F" w:rsidRPr="001B2D94" w:rsidTr="003D5843">
        <w:trPr>
          <w:gridBefore w:val="1"/>
          <w:trHeight w:val="255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5E35EA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945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694,987</w:t>
            </w:r>
          </w:p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</w:p>
        </w:tc>
      </w:tr>
      <w:tr w:rsidR="00F8610F" w:rsidRPr="001B2D94" w:rsidTr="003D5843">
        <w:trPr>
          <w:gridBefore w:val="1"/>
          <w:trHeight w:val="63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b/>
                <w:bCs/>
                <w:sz w:val="28"/>
                <w:szCs w:val="28"/>
              </w:rPr>
            </w:pPr>
            <w:r w:rsidRPr="001B2D94">
              <w:rPr>
                <w:b/>
                <w:bCs/>
                <w:sz w:val="28"/>
                <w:szCs w:val="28"/>
                <w:lang w:val="uk-UA"/>
              </w:rPr>
              <w:t>розрахунок чистої приведеної вартості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5E35EA">
            <w:pPr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</w:rPr>
              <w:t>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945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694,987</w:t>
            </w:r>
            <w:r w:rsidRPr="001B2D94">
              <w:rPr>
                <w:sz w:val="28"/>
                <w:szCs w:val="28"/>
                <w:lang w:val="uk-UA"/>
              </w:rPr>
              <w:t xml:space="preserve">-6 788 473,482 =157 221,705 </w:t>
            </w:r>
            <w:r w:rsidRPr="001B2D94">
              <w:rPr>
                <w:bCs/>
                <w:sz w:val="28"/>
                <w:szCs w:val="28"/>
              </w:rPr>
              <w:t>грн, без ПДВ</w:t>
            </w:r>
          </w:p>
        </w:tc>
      </w:tr>
    </w:tbl>
    <w:p w:rsidR="00F8610F" w:rsidRPr="001B2D94" w:rsidRDefault="00F8610F" w:rsidP="00EA7DAF">
      <w:pPr>
        <w:jc w:val="both"/>
        <w:rPr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 Внутрішня</w:t>
      </w:r>
      <w:r w:rsidRPr="001B2D94">
        <w:rPr>
          <w:b/>
          <w:bCs/>
          <w:sz w:val="28"/>
          <w:szCs w:val="28"/>
          <w:shd w:val="clear" w:color="auto" w:fill="FFFFFF"/>
        </w:rPr>
        <w:t xml:space="preserve"> норма</w:t>
      </w: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дохідності</w:t>
      </w:r>
      <w:r w:rsidRPr="001B2D94">
        <w:rPr>
          <w:bCs/>
          <w:sz w:val="28"/>
          <w:szCs w:val="28"/>
          <w:shd w:val="clear" w:color="auto" w:fill="FFFFFF"/>
          <w:lang w:val="uk-UA"/>
        </w:rPr>
        <w:t xml:space="preserve">  (</w:t>
      </w:r>
      <w:r w:rsidRPr="001B2D94">
        <w:rPr>
          <w:sz w:val="28"/>
          <w:szCs w:val="28"/>
          <w:shd w:val="clear" w:color="auto" w:fill="FFFFFF"/>
          <w:lang w:val="uk-UA"/>
        </w:rPr>
        <w:t>це</w:t>
      </w:r>
      <w:r w:rsidRPr="001B2D94">
        <w:rPr>
          <w:sz w:val="28"/>
          <w:szCs w:val="28"/>
          <w:shd w:val="clear" w:color="auto" w:fill="FFFFFF"/>
        </w:rPr>
        <w:t xml:space="preserve"> ставка, за</w:t>
      </w:r>
      <w:r w:rsidRPr="001B2D94">
        <w:rPr>
          <w:sz w:val="28"/>
          <w:szCs w:val="28"/>
          <w:shd w:val="clear" w:color="auto" w:fill="FFFFFF"/>
          <w:lang w:val="uk-UA"/>
        </w:rPr>
        <w:t xml:space="preserve"> якою</w:t>
      </w:r>
      <w:r w:rsidRPr="001B2D94">
        <w:rPr>
          <w:sz w:val="28"/>
          <w:szCs w:val="28"/>
          <w:shd w:val="clear" w:color="auto" w:fill="FFFFFF"/>
        </w:rPr>
        <w:t xml:space="preserve"> </w:t>
      </w:r>
      <w:r w:rsidRPr="001B2D94">
        <w:rPr>
          <w:sz w:val="28"/>
          <w:szCs w:val="28"/>
          <w:shd w:val="clear" w:color="auto" w:fill="FFFFFF"/>
          <w:lang w:val="uk-UA"/>
        </w:rPr>
        <w:t xml:space="preserve"> інвестиційний проект виходить</w:t>
      </w:r>
      <w:r w:rsidRPr="001B2D94">
        <w:rPr>
          <w:sz w:val="28"/>
          <w:szCs w:val="28"/>
          <w:shd w:val="clear" w:color="auto" w:fill="FFFFFF"/>
        </w:rPr>
        <w:t xml:space="preserve"> на</w:t>
      </w:r>
      <w:r w:rsidRPr="001B2D94">
        <w:rPr>
          <w:b/>
          <w:sz w:val="28"/>
          <w:szCs w:val="28"/>
          <w:shd w:val="clear" w:color="auto" w:fill="FFFFFF"/>
          <w:lang w:val="uk-UA"/>
        </w:rPr>
        <w:t> </w:t>
      </w:r>
      <w:r w:rsidRPr="001B2D94">
        <w:rPr>
          <w:rStyle w:val="Strong"/>
          <w:b w:val="0"/>
          <w:sz w:val="28"/>
          <w:szCs w:val="28"/>
          <w:shd w:val="clear" w:color="auto" w:fill="FFFFFF"/>
          <w:lang w:val="uk-UA"/>
        </w:rPr>
        <w:t>нульову чисту дисконтовану вартість</w:t>
      </w:r>
      <w:r w:rsidRPr="001B2D94">
        <w:rPr>
          <w:b/>
          <w:sz w:val="28"/>
          <w:szCs w:val="28"/>
          <w:shd w:val="clear" w:color="auto" w:fill="FFFFFF"/>
          <w:lang w:val="uk-UA"/>
        </w:rPr>
        <w:t>)</w:t>
      </w:r>
      <w:r w:rsidRPr="001B2D94">
        <w:rPr>
          <w:sz w:val="28"/>
          <w:szCs w:val="28"/>
          <w:shd w:val="clear" w:color="auto" w:fill="FFFFFF"/>
          <w:lang w:val="uk-UA"/>
        </w:rPr>
        <w:t xml:space="preserve"> </w:t>
      </w:r>
      <w:r w:rsidRPr="001B2D94">
        <w:rPr>
          <w:sz w:val="28"/>
          <w:szCs w:val="28"/>
          <w:shd w:val="clear" w:color="auto" w:fill="FFFFFF"/>
        </w:rPr>
        <w:t>:</w:t>
      </w:r>
      <w:r w:rsidRPr="001B2D94">
        <w:rPr>
          <w:sz w:val="28"/>
          <w:szCs w:val="28"/>
          <w:shd w:val="clear" w:color="auto" w:fill="FFFFFF"/>
          <w:lang w:val="uk-UA"/>
        </w:rPr>
        <w:t xml:space="preserve"> 9,01%.</w:t>
      </w:r>
    </w:p>
    <w:p w:rsidR="00F8610F" w:rsidRPr="001B2D94" w:rsidRDefault="00F8610F" w:rsidP="00A14FE8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1B2D94">
        <w:rPr>
          <w:b/>
          <w:bCs/>
          <w:sz w:val="28"/>
          <w:szCs w:val="28"/>
          <w:shd w:val="clear" w:color="auto" w:fill="FFFFFF"/>
          <w:lang w:val="uk-UA"/>
        </w:rPr>
        <w:t xml:space="preserve">         Дисконтований період окупності : </w:t>
      </w:r>
    </w:p>
    <w:tbl>
      <w:tblPr>
        <w:tblW w:w="9195" w:type="dxa"/>
        <w:tblInd w:w="93" w:type="dxa"/>
        <w:tblLook w:val="0000"/>
      </w:tblPr>
      <w:tblGrid>
        <w:gridCol w:w="2160"/>
        <w:gridCol w:w="1995"/>
        <w:gridCol w:w="3060"/>
        <w:gridCol w:w="1980"/>
      </w:tblGrid>
      <w:tr w:rsidR="00F8610F" w:rsidRPr="001B2D94" w:rsidTr="001B2D94">
        <w:trPr>
          <w:trHeight w:val="85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дисконтована</w:t>
            </w:r>
            <w:r w:rsidRPr="001B2D94">
              <w:rPr>
                <w:sz w:val="28"/>
                <w:szCs w:val="28"/>
              </w:rPr>
              <w:t xml:space="preserve"> сума</w:t>
            </w:r>
            <w:r w:rsidRPr="001B2D94">
              <w:rPr>
                <w:sz w:val="28"/>
                <w:szCs w:val="28"/>
                <w:lang w:val="uk-UA"/>
              </w:rPr>
              <w:t xml:space="preserve"> інвестицій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  <w:lang w:val="uk-UA"/>
              </w:rPr>
            </w:pPr>
            <w:r w:rsidRPr="001B2D94">
              <w:rPr>
                <w:sz w:val="28"/>
                <w:szCs w:val="28"/>
              </w:rPr>
              <w:t>роки</w:t>
            </w:r>
            <w:r w:rsidRPr="001B2D94">
              <w:rPr>
                <w:sz w:val="28"/>
                <w:szCs w:val="28"/>
                <w:lang w:val="uk-UA"/>
              </w:rPr>
              <w:t xml:space="preserve"> експлуатації</w:t>
            </w:r>
            <w:r w:rsidRPr="001B2D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  <w:lang w:val="uk-UA"/>
              </w:rPr>
              <w:t>дисконтована</w:t>
            </w:r>
            <w:r w:rsidRPr="001B2D94">
              <w:rPr>
                <w:sz w:val="28"/>
                <w:szCs w:val="28"/>
              </w:rPr>
              <w:t xml:space="preserve"> сума</w:t>
            </w:r>
            <w:r w:rsidRPr="001B2D94">
              <w:rPr>
                <w:sz w:val="28"/>
                <w:szCs w:val="28"/>
                <w:lang w:val="uk-UA"/>
              </w:rPr>
              <w:t xml:space="preserve"> інвестицій</w:t>
            </w:r>
            <w:r w:rsidRPr="001B2D94">
              <w:rPr>
                <w:sz w:val="28"/>
                <w:szCs w:val="28"/>
              </w:rPr>
              <w:t xml:space="preserve"> у</w:t>
            </w:r>
            <w:r w:rsidRPr="001B2D94">
              <w:rPr>
                <w:sz w:val="28"/>
                <w:szCs w:val="28"/>
                <w:lang w:val="uk-UA"/>
              </w:rPr>
              <w:t xml:space="preserve"> розрізі</w:t>
            </w:r>
            <w:r w:rsidRPr="001B2D94">
              <w:rPr>
                <w:sz w:val="28"/>
                <w:szCs w:val="28"/>
              </w:rPr>
              <w:t xml:space="preserve"> років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610F" w:rsidRPr="001B2D94" w:rsidRDefault="00F8610F" w:rsidP="0050713E">
            <w:pPr>
              <w:jc w:val="both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період</w:t>
            </w:r>
            <w:r w:rsidRPr="001B2D94">
              <w:rPr>
                <w:sz w:val="28"/>
                <w:szCs w:val="28"/>
                <w:lang w:val="uk-UA"/>
              </w:rPr>
              <w:t xml:space="preserve"> окупності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b/>
                <w:bCs/>
                <w:sz w:val="28"/>
                <w:szCs w:val="28"/>
              </w:rPr>
            </w:pPr>
            <w:r w:rsidRPr="001B2D94">
              <w:rPr>
                <w:b/>
                <w:bCs/>
                <w:sz w:val="28"/>
                <w:szCs w:val="28"/>
              </w:rPr>
              <w:t>-6</w:t>
            </w:r>
            <w:r w:rsidRPr="001B2D9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bCs/>
                <w:sz w:val="28"/>
                <w:szCs w:val="28"/>
              </w:rPr>
              <w:t>788</w:t>
            </w:r>
            <w:r w:rsidRPr="001B2D9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bCs/>
                <w:sz w:val="28"/>
                <w:szCs w:val="28"/>
              </w:rPr>
              <w:t>473,482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2022р.-2023р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992099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665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688,036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665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688,04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2023р.-2024р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992099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> </w:t>
            </w:r>
            <w:r w:rsidRPr="001B2D94">
              <w:rPr>
                <w:sz w:val="28"/>
                <w:szCs w:val="28"/>
              </w:rPr>
              <w:t>514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261,851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3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179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949,89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2024р.-2025р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992099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376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601,683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4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556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551,57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2025р.-2026р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992099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251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456,075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b/>
                <w:sz w:val="28"/>
                <w:szCs w:val="28"/>
              </w:rPr>
            </w:pPr>
            <w:r w:rsidRPr="001B2D94">
              <w:rPr>
                <w:b/>
                <w:sz w:val="28"/>
                <w:szCs w:val="28"/>
              </w:rPr>
              <w:t>5</w:t>
            </w:r>
            <w:r w:rsidRPr="001B2D9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sz w:val="28"/>
                <w:szCs w:val="28"/>
              </w:rPr>
              <w:t>808</w:t>
            </w:r>
            <w:r w:rsidRPr="001B2D9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sz w:val="28"/>
                <w:szCs w:val="28"/>
              </w:rPr>
              <w:t>007,65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2026р.-2027р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 w:rsidP="00992099">
            <w:pPr>
              <w:jc w:val="center"/>
              <w:rPr>
                <w:sz w:val="28"/>
                <w:szCs w:val="28"/>
              </w:rPr>
            </w:pPr>
            <w:r w:rsidRPr="001B2D94">
              <w:rPr>
                <w:sz w:val="28"/>
                <w:szCs w:val="28"/>
              </w:rPr>
              <w:t>1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137</w:t>
            </w:r>
            <w:r w:rsidRPr="001B2D94">
              <w:rPr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sz w:val="28"/>
                <w:szCs w:val="28"/>
              </w:rPr>
              <w:t>687,341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b/>
                <w:sz w:val="28"/>
                <w:szCs w:val="28"/>
              </w:rPr>
            </w:pPr>
            <w:r w:rsidRPr="001B2D94">
              <w:rPr>
                <w:b/>
                <w:sz w:val="28"/>
                <w:szCs w:val="28"/>
              </w:rPr>
              <w:t>6</w:t>
            </w:r>
            <w:r w:rsidRPr="001B2D9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sz w:val="28"/>
                <w:szCs w:val="28"/>
              </w:rPr>
              <w:t>945</w:t>
            </w:r>
            <w:r w:rsidRPr="001B2D9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B2D94">
              <w:rPr>
                <w:b/>
                <w:sz w:val="28"/>
                <w:szCs w:val="28"/>
              </w:rPr>
              <w:t>694,99</w:t>
            </w:r>
          </w:p>
        </w:tc>
      </w:tr>
      <w:tr w:rsidR="00F8610F" w:rsidRPr="001B2D94" w:rsidTr="001B2D94">
        <w:trPr>
          <w:trHeight w:val="25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610F" w:rsidRPr="001B2D94" w:rsidRDefault="00F8610F">
            <w:pPr>
              <w:jc w:val="right"/>
              <w:rPr>
                <w:sz w:val="28"/>
                <w:szCs w:val="28"/>
              </w:rPr>
            </w:pPr>
          </w:p>
        </w:tc>
      </w:tr>
    </w:tbl>
    <w:p w:rsidR="00F8610F" w:rsidRDefault="00F8610F" w:rsidP="000A22E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shd w:val="clear" w:color="auto" w:fill="FFFFFF"/>
          <w:lang w:val="uk-UA"/>
        </w:rPr>
      </w:pP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bookmarkStart w:id="5" w:name="_GoBack"/>
      <w:bookmarkEnd w:id="5"/>
      <w:r w:rsidRPr="001B2D94">
        <w:rPr>
          <w:sz w:val="28"/>
          <w:szCs w:val="28"/>
          <w:shd w:val="clear" w:color="auto" w:fill="FFFFFF"/>
          <w:lang w:val="uk-UA"/>
        </w:rPr>
        <w:t>Сума дисконтованих доходів за 4,5 років досягає  дисконтованої суми інвестицій (термін відшкодування первісних інвестиційних витрат ).</w:t>
      </w:r>
    </w:p>
    <w:p w:rsidR="00F8610F" w:rsidRPr="001B2D94" w:rsidRDefault="00F8610F" w:rsidP="000A22E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  <w:lang w:val="uk-UA"/>
        </w:rPr>
      </w:pPr>
    </w:p>
    <w:p w:rsidR="00F8610F" w:rsidRPr="001B2D94" w:rsidRDefault="00F8610F" w:rsidP="00691125">
      <w:pPr>
        <w:jc w:val="both"/>
        <w:rPr>
          <w:b/>
          <w:sz w:val="28"/>
          <w:szCs w:val="28"/>
          <w:lang w:val="uk-UA"/>
        </w:rPr>
      </w:pPr>
      <w:r w:rsidRPr="001B2D94">
        <w:rPr>
          <w:b/>
          <w:sz w:val="28"/>
          <w:szCs w:val="28"/>
          <w:lang w:val="uk-UA"/>
        </w:rPr>
        <w:t xml:space="preserve">      Начальник                                                              Сергій МОСТІПАКА</w:t>
      </w:r>
    </w:p>
    <w:sectPr w:rsidR="00F8610F" w:rsidRPr="001B2D94" w:rsidSect="00691125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451"/>
    <w:multiLevelType w:val="multilevel"/>
    <w:tmpl w:val="E2A8E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053A3F"/>
    <w:multiLevelType w:val="hybridMultilevel"/>
    <w:tmpl w:val="7CF6627E"/>
    <w:lvl w:ilvl="0" w:tplc="0419000F">
      <w:start w:val="1"/>
      <w:numFmt w:val="decimal"/>
      <w:lvlText w:val="%1."/>
      <w:lvlJc w:val="left"/>
      <w:pPr>
        <w:ind w:left="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  <w:rPr>
        <w:rFonts w:cs="Times New Roman"/>
      </w:rPr>
    </w:lvl>
  </w:abstractNum>
  <w:abstractNum w:abstractNumId="2">
    <w:nsid w:val="264F4DEC"/>
    <w:multiLevelType w:val="hybridMultilevel"/>
    <w:tmpl w:val="EFD69446"/>
    <w:lvl w:ilvl="0" w:tplc="9B9E8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E1394"/>
    <w:multiLevelType w:val="hybridMultilevel"/>
    <w:tmpl w:val="D3F4C22A"/>
    <w:lvl w:ilvl="0" w:tplc="3E00E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DF11F9"/>
    <w:multiLevelType w:val="hybridMultilevel"/>
    <w:tmpl w:val="5DB44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28B"/>
    <w:rsid w:val="000615F3"/>
    <w:rsid w:val="00071671"/>
    <w:rsid w:val="00094F75"/>
    <w:rsid w:val="000A21D8"/>
    <w:rsid w:val="000A22E3"/>
    <w:rsid w:val="000A3F74"/>
    <w:rsid w:val="000B4215"/>
    <w:rsid w:val="000E3D0E"/>
    <w:rsid w:val="000F43B5"/>
    <w:rsid w:val="001435EF"/>
    <w:rsid w:val="001910C4"/>
    <w:rsid w:val="001A4015"/>
    <w:rsid w:val="001B2D94"/>
    <w:rsid w:val="001C4BA0"/>
    <w:rsid w:val="001F0B9C"/>
    <w:rsid w:val="001F3341"/>
    <w:rsid w:val="001F42A8"/>
    <w:rsid w:val="00210E18"/>
    <w:rsid w:val="00234633"/>
    <w:rsid w:val="00245329"/>
    <w:rsid w:val="00251C37"/>
    <w:rsid w:val="00260E01"/>
    <w:rsid w:val="00261741"/>
    <w:rsid w:val="00274A3F"/>
    <w:rsid w:val="002865A5"/>
    <w:rsid w:val="00294FF5"/>
    <w:rsid w:val="002C258F"/>
    <w:rsid w:val="002D4BE7"/>
    <w:rsid w:val="002D5AC0"/>
    <w:rsid w:val="00331801"/>
    <w:rsid w:val="003338EB"/>
    <w:rsid w:val="00350C3A"/>
    <w:rsid w:val="00356EAC"/>
    <w:rsid w:val="00372B77"/>
    <w:rsid w:val="0038794C"/>
    <w:rsid w:val="003C5C0B"/>
    <w:rsid w:val="003D5843"/>
    <w:rsid w:val="003E6FF9"/>
    <w:rsid w:val="003F2F16"/>
    <w:rsid w:val="0040365A"/>
    <w:rsid w:val="00436AC7"/>
    <w:rsid w:val="00456176"/>
    <w:rsid w:val="00462213"/>
    <w:rsid w:val="00467D0A"/>
    <w:rsid w:val="004969CA"/>
    <w:rsid w:val="004A4A4B"/>
    <w:rsid w:val="004D5B6E"/>
    <w:rsid w:val="004E6DE6"/>
    <w:rsid w:val="004E7E57"/>
    <w:rsid w:val="004F01DC"/>
    <w:rsid w:val="004F3AB5"/>
    <w:rsid w:val="004F410B"/>
    <w:rsid w:val="00500725"/>
    <w:rsid w:val="0050713E"/>
    <w:rsid w:val="00532C0C"/>
    <w:rsid w:val="00537A8E"/>
    <w:rsid w:val="00561A43"/>
    <w:rsid w:val="00587357"/>
    <w:rsid w:val="00597DE1"/>
    <w:rsid w:val="005B3E22"/>
    <w:rsid w:val="005B5C7A"/>
    <w:rsid w:val="005C0B4A"/>
    <w:rsid w:val="005C13B3"/>
    <w:rsid w:val="005E35EA"/>
    <w:rsid w:val="006009CF"/>
    <w:rsid w:val="00601DDA"/>
    <w:rsid w:val="006102B7"/>
    <w:rsid w:val="00614AFC"/>
    <w:rsid w:val="006222FD"/>
    <w:rsid w:val="00623A11"/>
    <w:rsid w:val="00646A2B"/>
    <w:rsid w:val="00667ED3"/>
    <w:rsid w:val="00691125"/>
    <w:rsid w:val="006A2A66"/>
    <w:rsid w:val="006B0BEE"/>
    <w:rsid w:val="006E332A"/>
    <w:rsid w:val="00712559"/>
    <w:rsid w:val="00724C70"/>
    <w:rsid w:val="0073543C"/>
    <w:rsid w:val="00735C96"/>
    <w:rsid w:val="00761580"/>
    <w:rsid w:val="00773C66"/>
    <w:rsid w:val="007B604C"/>
    <w:rsid w:val="007D60E1"/>
    <w:rsid w:val="007F29A4"/>
    <w:rsid w:val="008026AC"/>
    <w:rsid w:val="00812BAB"/>
    <w:rsid w:val="008301A1"/>
    <w:rsid w:val="008C0968"/>
    <w:rsid w:val="008C3A89"/>
    <w:rsid w:val="008D2720"/>
    <w:rsid w:val="008E71B7"/>
    <w:rsid w:val="008F5C07"/>
    <w:rsid w:val="00901A55"/>
    <w:rsid w:val="009028BC"/>
    <w:rsid w:val="009131F8"/>
    <w:rsid w:val="00922F4A"/>
    <w:rsid w:val="00925F91"/>
    <w:rsid w:val="00926AF9"/>
    <w:rsid w:val="009436B4"/>
    <w:rsid w:val="00953729"/>
    <w:rsid w:val="0097342A"/>
    <w:rsid w:val="00984402"/>
    <w:rsid w:val="00985720"/>
    <w:rsid w:val="00992099"/>
    <w:rsid w:val="00996F37"/>
    <w:rsid w:val="00997606"/>
    <w:rsid w:val="009C2EFF"/>
    <w:rsid w:val="009C5293"/>
    <w:rsid w:val="009D19B9"/>
    <w:rsid w:val="009D3519"/>
    <w:rsid w:val="009D5623"/>
    <w:rsid w:val="009E6816"/>
    <w:rsid w:val="009F1B08"/>
    <w:rsid w:val="00A00F6F"/>
    <w:rsid w:val="00A03B17"/>
    <w:rsid w:val="00A14FE8"/>
    <w:rsid w:val="00A452CF"/>
    <w:rsid w:val="00A5053F"/>
    <w:rsid w:val="00A7391E"/>
    <w:rsid w:val="00A76AFA"/>
    <w:rsid w:val="00A7751D"/>
    <w:rsid w:val="00A81EA1"/>
    <w:rsid w:val="00A82C2F"/>
    <w:rsid w:val="00A93447"/>
    <w:rsid w:val="00AA3F9E"/>
    <w:rsid w:val="00AC2632"/>
    <w:rsid w:val="00AD73BB"/>
    <w:rsid w:val="00AE57C1"/>
    <w:rsid w:val="00AE7093"/>
    <w:rsid w:val="00AF6856"/>
    <w:rsid w:val="00B0128B"/>
    <w:rsid w:val="00B21B78"/>
    <w:rsid w:val="00B2251D"/>
    <w:rsid w:val="00B324B8"/>
    <w:rsid w:val="00B40E8D"/>
    <w:rsid w:val="00B4684A"/>
    <w:rsid w:val="00B828EB"/>
    <w:rsid w:val="00B933E0"/>
    <w:rsid w:val="00BB516E"/>
    <w:rsid w:val="00BF7E99"/>
    <w:rsid w:val="00C177C6"/>
    <w:rsid w:val="00C364FE"/>
    <w:rsid w:val="00C428BA"/>
    <w:rsid w:val="00C45A44"/>
    <w:rsid w:val="00C47EE5"/>
    <w:rsid w:val="00C7271F"/>
    <w:rsid w:val="00C777D4"/>
    <w:rsid w:val="00C931E8"/>
    <w:rsid w:val="00CA2B65"/>
    <w:rsid w:val="00D0242A"/>
    <w:rsid w:val="00D07E71"/>
    <w:rsid w:val="00D41C3A"/>
    <w:rsid w:val="00D44E4E"/>
    <w:rsid w:val="00D60779"/>
    <w:rsid w:val="00D703B9"/>
    <w:rsid w:val="00D7686E"/>
    <w:rsid w:val="00D97B2F"/>
    <w:rsid w:val="00DA50D6"/>
    <w:rsid w:val="00DA7372"/>
    <w:rsid w:val="00DD41AD"/>
    <w:rsid w:val="00DD7CD4"/>
    <w:rsid w:val="00E0282F"/>
    <w:rsid w:val="00E030B4"/>
    <w:rsid w:val="00E16ADD"/>
    <w:rsid w:val="00E20535"/>
    <w:rsid w:val="00E34D4D"/>
    <w:rsid w:val="00E57B20"/>
    <w:rsid w:val="00E66E92"/>
    <w:rsid w:val="00E74F36"/>
    <w:rsid w:val="00E81367"/>
    <w:rsid w:val="00EA7DAF"/>
    <w:rsid w:val="00EC4053"/>
    <w:rsid w:val="00ED0140"/>
    <w:rsid w:val="00ED7EDD"/>
    <w:rsid w:val="00F14A89"/>
    <w:rsid w:val="00F222EC"/>
    <w:rsid w:val="00F435D4"/>
    <w:rsid w:val="00F46A27"/>
    <w:rsid w:val="00F65735"/>
    <w:rsid w:val="00F66CF6"/>
    <w:rsid w:val="00F748DA"/>
    <w:rsid w:val="00F84B30"/>
    <w:rsid w:val="00F8610F"/>
    <w:rsid w:val="00FA3D8F"/>
    <w:rsid w:val="00FC009F"/>
    <w:rsid w:val="00FE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8B"/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locked/>
    <w:rsid w:val="00C7271F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F7E99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B0128B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locked/>
    <w:rsid w:val="00C7271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Normal"/>
    <w:uiPriority w:val="99"/>
    <w:rsid w:val="007D60E1"/>
    <w:pPr>
      <w:spacing w:before="100" w:beforeAutospacing="1" w:after="100" w:afterAutospacing="1"/>
    </w:pPr>
    <w:rPr>
      <w:rFonts w:eastAsia="Calibri"/>
    </w:rPr>
  </w:style>
  <w:style w:type="character" w:styleId="Hyperlink">
    <w:name w:val="Hyperlink"/>
    <w:basedOn w:val="DefaultParagraphFont"/>
    <w:uiPriority w:val="99"/>
    <w:rsid w:val="007D60E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735C9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2627</Words>
  <Characters>14976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ІНВЕСТИЦІЙНОЇ ПРОГРАМИ КОМУНАЛЬНОГО ПІДПРИЄМСТВА «БУЧАСЕРВІС»                            НА 2022-2023 РОКИ</dc:title>
  <dc:subject/>
  <dc:creator>Dusha</dc:creator>
  <cp:keywords/>
  <dc:description/>
  <cp:lastModifiedBy>Microsoft Office</cp:lastModifiedBy>
  <cp:revision>2</cp:revision>
  <cp:lastPrinted>2022-01-28T06:30:00Z</cp:lastPrinted>
  <dcterms:created xsi:type="dcterms:W3CDTF">2022-01-28T12:02:00Z</dcterms:created>
  <dcterms:modified xsi:type="dcterms:W3CDTF">2022-01-28T12:02:00Z</dcterms:modified>
</cp:coreProperties>
</file>